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4"/>
        <w:rPr>
          <w:sz w:val="23"/>
        </w:rPr>
      </w:pPr>
    </w:p>
    <w:p>
      <w:pPr>
        <w:spacing w:before="0"/>
        <w:ind w:left="115" w:right="0" w:firstLine="0"/>
        <w:jc w:val="both"/>
        <w:rPr>
          <w:sz w:val="24"/>
        </w:rPr>
      </w:pPr>
      <w:r>
        <w:rPr>
          <w:sz w:val="24"/>
        </w:rPr>
        <w:t>PŘÍLOHA N 072</w:t>
      </w:r>
    </w:p>
    <w:p>
      <w:pPr>
        <w:pStyle w:val="Heading1"/>
        <w:spacing w:line="240" w:lineRule="auto" w:before="6"/>
      </w:pPr>
      <w:r>
        <w:rPr/>
        <w:t>MEZINÁRODNÍ MISTROVSTVÍ ČESKÉ REPUBLIKY DRUŽSTEV – EXTRALIGA</w:t>
      </w:r>
    </w:p>
    <w:p>
      <w:pPr>
        <w:pStyle w:val="BodyText"/>
        <w:spacing w:before="11"/>
        <w:rPr>
          <w:b/>
          <w:sz w:val="21"/>
        </w:rPr>
      </w:pPr>
    </w:p>
    <w:p>
      <w:pPr>
        <w:tabs>
          <w:tab w:pos="1531" w:val="left" w:leader="none"/>
        </w:tabs>
        <w:spacing w:line="252" w:lineRule="exact" w:before="0"/>
        <w:ind w:left="115" w:right="0" w:firstLine="0"/>
        <w:jc w:val="both"/>
        <w:rPr>
          <w:b/>
          <w:sz w:val="22"/>
        </w:rPr>
      </w:pPr>
      <w:r>
        <w:rPr>
          <w:b/>
          <w:sz w:val="22"/>
        </w:rPr>
        <w:t>N</w:t>
      </w:r>
      <w:r>
        <w:rPr>
          <w:b/>
          <w:spacing w:val="-1"/>
          <w:sz w:val="22"/>
        </w:rPr>
        <w:t> </w:t>
      </w:r>
      <w:r>
        <w:rPr>
          <w:b/>
          <w:sz w:val="22"/>
        </w:rPr>
        <w:t>072. 1</w:t>
        <w:tab/>
        <w:t>Všeobecně</w:t>
      </w:r>
    </w:p>
    <w:p>
      <w:pPr>
        <w:tabs>
          <w:tab w:pos="1531" w:val="left" w:leader="none"/>
        </w:tabs>
        <w:spacing w:line="252" w:lineRule="exact" w:before="0"/>
        <w:ind w:left="115" w:right="0" w:firstLine="0"/>
        <w:jc w:val="both"/>
        <w:rPr>
          <w:b/>
          <w:sz w:val="22"/>
        </w:rPr>
      </w:pPr>
      <w:r>
        <w:rPr>
          <w:b/>
          <w:sz w:val="22"/>
        </w:rPr>
        <w:t>N</w:t>
      </w:r>
      <w:r>
        <w:rPr>
          <w:b/>
          <w:spacing w:val="-1"/>
          <w:sz w:val="22"/>
        </w:rPr>
        <w:t> </w:t>
      </w:r>
      <w:r>
        <w:rPr>
          <w:b/>
          <w:sz w:val="22"/>
        </w:rPr>
        <w:t>072. 2</w:t>
        <w:tab/>
        <w:t>Účastníci</w:t>
      </w:r>
    </w:p>
    <w:p>
      <w:pPr>
        <w:tabs>
          <w:tab w:pos="1531" w:val="left" w:leader="none"/>
        </w:tabs>
        <w:spacing w:line="252" w:lineRule="exact" w:before="1"/>
        <w:ind w:left="115" w:right="0" w:firstLine="0"/>
        <w:jc w:val="both"/>
        <w:rPr>
          <w:b/>
          <w:sz w:val="22"/>
        </w:rPr>
      </w:pPr>
      <w:r>
        <w:rPr>
          <w:b/>
          <w:sz w:val="22"/>
        </w:rPr>
        <w:t>N</w:t>
      </w:r>
      <w:r>
        <w:rPr>
          <w:b/>
          <w:spacing w:val="-1"/>
          <w:sz w:val="22"/>
        </w:rPr>
        <w:t> </w:t>
      </w:r>
      <w:r>
        <w:rPr>
          <w:b/>
          <w:sz w:val="22"/>
        </w:rPr>
        <w:t>072. 3</w:t>
        <w:tab/>
        <w:t>Složení</w:t>
      </w:r>
      <w:r>
        <w:rPr>
          <w:b/>
          <w:spacing w:val="-4"/>
          <w:sz w:val="22"/>
        </w:rPr>
        <w:t> </w:t>
      </w:r>
      <w:r>
        <w:rPr>
          <w:b/>
          <w:sz w:val="22"/>
        </w:rPr>
        <w:t>družstva</w:t>
      </w:r>
    </w:p>
    <w:p>
      <w:pPr>
        <w:tabs>
          <w:tab w:pos="1531" w:val="left" w:leader="none"/>
        </w:tabs>
        <w:spacing w:line="252" w:lineRule="exact" w:before="0"/>
        <w:ind w:left="115" w:right="0" w:firstLine="0"/>
        <w:jc w:val="both"/>
        <w:rPr>
          <w:b/>
          <w:sz w:val="22"/>
        </w:rPr>
      </w:pPr>
      <w:r>
        <w:rPr>
          <w:b/>
          <w:sz w:val="22"/>
        </w:rPr>
        <w:t>N</w:t>
      </w:r>
      <w:r>
        <w:rPr>
          <w:b/>
          <w:spacing w:val="-1"/>
          <w:sz w:val="22"/>
        </w:rPr>
        <w:t> </w:t>
      </w:r>
      <w:r>
        <w:rPr>
          <w:b/>
          <w:sz w:val="22"/>
        </w:rPr>
        <w:t>072. 4</w:t>
        <w:tab/>
        <w:t>Taktická</w:t>
      </w:r>
      <w:r>
        <w:rPr>
          <w:b/>
          <w:spacing w:val="-2"/>
          <w:sz w:val="22"/>
        </w:rPr>
        <w:t> </w:t>
      </w:r>
      <w:r>
        <w:rPr>
          <w:b/>
          <w:sz w:val="22"/>
        </w:rPr>
        <w:t>rezerva</w:t>
      </w:r>
    </w:p>
    <w:p>
      <w:pPr>
        <w:tabs>
          <w:tab w:pos="1531" w:val="left" w:leader="none"/>
        </w:tabs>
        <w:spacing w:line="252" w:lineRule="exact" w:before="2"/>
        <w:ind w:left="115" w:right="0" w:firstLine="0"/>
        <w:jc w:val="both"/>
        <w:rPr>
          <w:b/>
          <w:sz w:val="22"/>
        </w:rPr>
      </w:pPr>
      <w:r>
        <w:rPr>
          <w:b/>
          <w:sz w:val="22"/>
        </w:rPr>
        <w:t>N</w:t>
      </w:r>
      <w:r>
        <w:rPr>
          <w:b/>
          <w:spacing w:val="-1"/>
          <w:sz w:val="22"/>
        </w:rPr>
        <w:t> </w:t>
      </w:r>
      <w:r>
        <w:rPr>
          <w:b/>
          <w:sz w:val="22"/>
        </w:rPr>
        <w:t>072. 5</w:t>
        <w:tab/>
        <w:t>Taktická rezerva</w:t>
      </w:r>
      <w:r>
        <w:rPr>
          <w:b/>
          <w:spacing w:val="-5"/>
          <w:sz w:val="22"/>
        </w:rPr>
        <w:t> </w:t>
      </w:r>
      <w:r>
        <w:rPr>
          <w:b/>
          <w:sz w:val="22"/>
        </w:rPr>
        <w:t>„Joker“</w:t>
      </w:r>
    </w:p>
    <w:p>
      <w:pPr>
        <w:tabs>
          <w:tab w:pos="1531" w:val="left" w:leader="none"/>
        </w:tabs>
        <w:spacing w:line="252" w:lineRule="exact" w:before="0"/>
        <w:ind w:left="115" w:right="0" w:firstLine="0"/>
        <w:jc w:val="both"/>
        <w:rPr>
          <w:b/>
          <w:sz w:val="22"/>
        </w:rPr>
      </w:pPr>
      <w:r>
        <w:rPr>
          <w:b/>
          <w:sz w:val="22"/>
        </w:rPr>
        <w:t>N</w:t>
      </w:r>
      <w:r>
        <w:rPr>
          <w:b/>
          <w:spacing w:val="-1"/>
          <w:sz w:val="22"/>
        </w:rPr>
        <w:t> </w:t>
      </w:r>
      <w:r>
        <w:rPr>
          <w:b/>
          <w:sz w:val="22"/>
        </w:rPr>
        <w:t>072. 6</w:t>
        <w:tab/>
        <w:t>Formát</w:t>
      </w:r>
      <w:r>
        <w:rPr>
          <w:b/>
          <w:spacing w:val="-1"/>
          <w:sz w:val="22"/>
        </w:rPr>
        <w:t> </w:t>
      </w:r>
      <w:r>
        <w:rPr>
          <w:b/>
          <w:sz w:val="22"/>
        </w:rPr>
        <w:t>závodu</w:t>
      </w:r>
    </w:p>
    <w:p>
      <w:pPr>
        <w:tabs>
          <w:tab w:pos="1531" w:val="left" w:leader="none"/>
        </w:tabs>
        <w:spacing w:before="0"/>
        <w:ind w:left="115" w:right="4627" w:firstLine="0"/>
        <w:jc w:val="left"/>
        <w:rPr>
          <w:b/>
          <w:sz w:val="22"/>
        </w:rPr>
      </w:pPr>
      <w:r>
        <w:rPr>
          <w:b/>
          <w:sz w:val="22"/>
        </w:rPr>
        <w:t>N</w:t>
      </w:r>
      <w:r>
        <w:rPr>
          <w:b/>
          <w:spacing w:val="-1"/>
          <w:sz w:val="22"/>
        </w:rPr>
        <w:t> </w:t>
      </w:r>
      <w:r>
        <w:rPr>
          <w:b/>
          <w:sz w:val="22"/>
        </w:rPr>
        <w:t>072. 7</w:t>
        <w:tab/>
        <w:t>Body a rovnost bodů</w:t>
      </w:r>
      <w:r>
        <w:rPr>
          <w:b/>
          <w:spacing w:val="-10"/>
          <w:sz w:val="22"/>
        </w:rPr>
        <w:t> </w:t>
      </w:r>
      <w:r>
        <w:rPr>
          <w:b/>
          <w:sz w:val="22"/>
        </w:rPr>
        <w:t>v</w:t>
      </w:r>
      <w:r>
        <w:rPr>
          <w:b/>
          <w:spacing w:val="-2"/>
          <w:sz w:val="22"/>
        </w:rPr>
        <w:t> </w:t>
      </w:r>
      <w:r>
        <w:rPr>
          <w:b/>
          <w:sz w:val="22"/>
        </w:rPr>
        <w:t>klasifikaci</w:t>
      </w:r>
      <w:r>
        <w:rPr>
          <w:b/>
          <w:w w:val="100"/>
          <w:sz w:val="22"/>
        </w:rPr>
        <w:t> </w:t>
      </w:r>
      <w:r>
        <w:rPr>
          <w:b/>
          <w:sz w:val="22"/>
        </w:rPr>
        <w:t>N</w:t>
      </w:r>
      <w:r>
        <w:rPr>
          <w:b/>
          <w:spacing w:val="-1"/>
          <w:sz w:val="22"/>
        </w:rPr>
        <w:t> </w:t>
      </w:r>
      <w:r>
        <w:rPr>
          <w:b/>
          <w:sz w:val="22"/>
        </w:rPr>
        <w:t>072. 8</w:t>
        <w:tab/>
        <w:t>Sazebník</w:t>
      </w:r>
      <w:r>
        <w:rPr>
          <w:b/>
          <w:spacing w:val="-3"/>
          <w:sz w:val="22"/>
        </w:rPr>
        <w:t> </w:t>
      </w:r>
      <w:r>
        <w:rPr>
          <w:b/>
          <w:sz w:val="22"/>
        </w:rPr>
        <w:t>náhrad</w:t>
      </w:r>
    </w:p>
    <w:p>
      <w:pPr>
        <w:pStyle w:val="BodyText"/>
        <w:rPr>
          <w:b/>
        </w:rPr>
      </w:pPr>
    </w:p>
    <w:p>
      <w:pPr>
        <w:tabs>
          <w:tab w:pos="1531" w:val="left" w:leader="none"/>
        </w:tabs>
        <w:spacing w:line="250" w:lineRule="exact" w:before="1"/>
        <w:ind w:left="115" w:right="0" w:firstLine="0"/>
        <w:jc w:val="both"/>
        <w:rPr>
          <w:b/>
          <w:sz w:val="22"/>
        </w:rPr>
      </w:pPr>
      <w:r>
        <w:rPr>
          <w:b/>
          <w:sz w:val="22"/>
        </w:rPr>
        <w:t>N</w:t>
      </w:r>
      <w:r>
        <w:rPr>
          <w:b/>
          <w:spacing w:val="-1"/>
          <w:sz w:val="22"/>
        </w:rPr>
        <w:t> </w:t>
      </w:r>
      <w:r>
        <w:rPr>
          <w:b/>
          <w:sz w:val="22"/>
        </w:rPr>
        <w:t>072. 1</w:t>
        <w:tab/>
        <w:t>Všeobecně</w:t>
      </w:r>
    </w:p>
    <w:p>
      <w:pPr>
        <w:pStyle w:val="BodyText"/>
        <w:ind w:left="115" w:right="106"/>
        <w:jc w:val="both"/>
      </w:pPr>
      <w:r>
        <w:rPr/>
        <w:t>Závody družstev složených z jezdců, kteří jsou uvedeni na soupiskách zúčastněných družstev pro tuto soutěž. Základní soupisky svých družstev předloží účastníci soutěže do 28. 2. Komisi PD AČR. Na soupisce musí být vždy uvedeni nejméně tři jezdci, držitelé licence AČR. Počet jezdců, držitelů zahraničních licencí není omezen. Uzávěrka soupisek a všech úprav pro sezónu je 14 dní před posledním finálovým závodem. Žádný jezdec nemůže být v průběhu soutěže být uveden na více než dvou soupiskách.</w:t>
      </w:r>
    </w:p>
    <w:p>
      <w:pPr>
        <w:pStyle w:val="BodyText"/>
        <w:spacing w:before="3"/>
      </w:pPr>
    </w:p>
    <w:p>
      <w:pPr>
        <w:pStyle w:val="BodyText"/>
        <w:ind w:left="115" w:right="107"/>
        <w:jc w:val="both"/>
      </w:pPr>
      <w:r>
        <w:rPr/>
        <w:t>V každém závodě  startují  čtyři  týmy  s tím,  že  každý  tým  musí  v základní  části  soutěže  pořádat v soutěži jeden závod. Pátý finálový závod bude uspořádán na dráze vítěze základní části soutěže nebo na neutrální dráze, pokud se na tom shodnou účastníci soutěže.</w:t>
      </w:r>
    </w:p>
    <w:p>
      <w:pPr>
        <w:pStyle w:val="BodyText"/>
      </w:pPr>
    </w:p>
    <w:p>
      <w:pPr>
        <w:pStyle w:val="BodyText"/>
        <w:ind w:left="116" w:right="106"/>
        <w:jc w:val="both"/>
      </w:pPr>
      <w:r>
        <w:rPr/>
        <w:t>Soutěž řídí Extraligová komise složená v souladu s Rozpisem soutěží, zveřejněným v Ročence AČR 2020. Každý účastník soutěže má právo na účast v dalším ročníku soutěže, pokud o to projeví zájem.</w:t>
      </w:r>
    </w:p>
    <w:p>
      <w:pPr>
        <w:pStyle w:val="BodyText"/>
        <w:spacing w:before="5"/>
      </w:pPr>
    </w:p>
    <w:p>
      <w:pPr>
        <w:pStyle w:val="Heading1"/>
        <w:tabs>
          <w:tab w:pos="1531" w:val="left" w:leader="none"/>
        </w:tabs>
        <w:ind w:left="116"/>
      </w:pPr>
      <w:r>
        <w:rPr/>
        <w:t>N</w:t>
      </w:r>
      <w:r>
        <w:rPr>
          <w:spacing w:val="-1"/>
        </w:rPr>
        <w:t> </w:t>
      </w:r>
      <w:r>
        <w:rPr/>
        <w:t>072. 2</w:t>
        <w:tab/>
        <w:t>Účastníci</w:t>
      </w:r>
    </w:p>
    <w:p>
      <w:pPr>
        <w:pStyle w:val="BodyText"/>
        <w:ind w:left="116" w:right="108"/>
        <w:jc w:val="both"/>
      </w:pPr>
      <w:r>
        <w:rPr/>
        <w:t>Do závodů budou přijati družstvy přihlášení jezdci s platnou licencí vydanou národní sportovní autoritou AČR. V závodě tohoto mistrovství mohou v každém družstvu startovat při naplnění níže uvedených pravidel jezdci s licencí jiné národní federace.</w:t>
      </w:r>
    </w:p>
    <w:p>
      <w:pPr>
        <w:pStyle w:val="BodyText"/>
        <w:spacing w:before="3"/>
      </w:pPr>
    </w:p>
    <w:p>
      <w:pPr>
        <w:pStyle w:val="BodyText"/>
        <w:ind w:left="116"/>
        <w:jc w:val="both"/>
      </w:pPr>
      <w:r>
        <w:rPr/>
        <w:t>Každý celek postaví tým z nejméně čtyř jezdců, pátý jezdec může být náhradníkem.</w:t>
      </w:r>
    </w:p>
    <w:p>
      <w:pPr>
        <w:pStyle w:val="BodyText"/>
      </w:pPr>
    </w:p>
    <w:p>
      <w:pPr>
        <w:pStyle w:val="BodyText"/>
        <w:ind w:left="116" w:right="107"/>
        <w:jc w:val="both"/>
      </w:pPr>
      <w:r>
        <w:rPr/>
        <w:t>V sestavě týmu můžou být maximálně 2 jezdci jiné licence než AČR z nichž min. jeden musí být ve věku do 21 let a nesmí být kvalifikovaným účastníkem finálového seriálu MS do 21 let v posledních dvou letech. Toto omezení pro družstvo nemusí platit, pokud tak rozhodne z níže uvedených důvodů Extraligová komise.</w:t>
      </w:r>
    </w:p>
    <w:p>
      <w:pPr>
        <w:pStyle w:val="BodyText"/>
      </w:pPr>
    </w:p>
    <w:p>
      <w:pPr>
        <w:pStyle w:val="BodyText"/>
        <w:ind w:left="115" w:right="105"/>
        <w:jc w:val="both"/>
      </w:pPr>
      <w:r>
        <w:rPr/>
        <w:t>Startovní číslo 2 červená, 8 modrá, 9 bílá a 15 žlutá musí mít jezdec juniorského věku do 21 let, držitel licence vydané AČR. Tento jezdec musí nastoupit také v jízdě č.17. Jezdec s tímto startovním číslem může být v jízdě 3. - 17. nahrazen pouze jiným juniorským jezdcem s licencí AČR. V případě zranění povinného juniora s licencí AČR do 21 let a nemožností obsazení této pozice odpovídajícím nahrazujícím jezdcem (s licencí AČR) a aby nedošlo k ohrožení startu družstva v dalším extraligovém závodě, může Extraligová komise povolit na tuto pozici jezdce juniorského věku s jinou licencí než AČR adekvátní výkonnosti.</w:t>
      </w:r>
    </w:p>
    <w:p>
      <w:pPr>
        <w:pStyle w:val="BodyText"/>
      </w:pPr>
    </w:p>
    <w:p>
      <w:pPr>
        <w:pStyle w:val="BodyText"/>
        <w:ind w:left="115" w:right="107"/>
        <w:jc w:val="both"/>
      </w:pPr>
      <w:r>
        <w:rPr/>
        <w:t>V případě zranění TOP jezdce týmu delší než deset dní (jeden jezdec týmu, držitel licence AČR, který je takto označen na soupisce), může tým použít jezdce držitele jiné licence než licence AČR. Tento jezdec  musí  být  kvalitativně  stejný  nebo  horší  než  TOP  jezdec.  Za  měřítko  je  brána  některá    z porovnatelných soutěží ISLB FIM. Schválení tohoto jezdce projedná Extraligová</w:t>
      </w:r>
      <w:r>
        <w:rPr>
          <w:spacing w:val="-27"/>
        </w:rPr>
        <w:t> </w:t>
      </w:r>
      <w:r>
        <w:rPr/>
        <w:t>komise.</w:t>
      </w:r>
    </w:p>
    <w:p>
      <w:pPr>
        <w:pStyle w:val="BodyText"/>
      </w:pPr>
    </w:p>
    <w:p>
      <w:pPr>
        <w:pStyle w:val="BodyText"/>
        <w:ind w:left="115" w:right="107"/>
        <w:jc w:val="both"/>
      </w:pPr>
      <w:r>
        <w:rPr/>
        <w:t>V pátém závodě soutěže nemůže startovat žádný jezdec, držitel licence jiné federace než AČR, který nestartoval v některém ze závodů základní části soutěže. Jedinou výjimku tvoří nahrazení zraněných TOP jezdců nebo povinného juniora schváleného Extraligovou komisí.</w:t>
      </w:r>
    </w:p>
    <w:p>
      <w:pPr>
        <w:spacing w:after="0"/>
        <w:jc w:val="both"/>
        <w:sectPr>
          <w:headerReference w:type="default" r:id="rId5"/>
          <w:footerReference w:type="default" r:id="rId6"/>
          <w:type w:val="continuous"/>
          <w:pgSz w:w="11900" w:h="16840"/>
          <w:pgMar w:header="710" w:footer="1014" w:top="920" w:bottom="1200" w:left="1300" w:right="1300"/>
          <w:pgNumType w:start="27"/>
        </w:sectPr>
      </w:pPr>
    </w:p>
    <w:p>
      <w:pPr>
        <w:pStyle w:val="BodyText"/>
        <w:rPr>
          <w:sz w:val="20"/>
        </w:rPr>
      </w:pPr>
    </w:p>
    <w:p>
      <w:pPr>
        <w:pStyle w:val="BodyText"/>
        <w:rPr>
          <w:sz w:val="20"/>
        </w:rPr>
      </w:pPr>
    </w:p>
    <w:p>
      <w:pPr>
        <w:pStyle w:val="BodyText"/>
        <w:spacing w:before="7"/>
        <w:rPr>
          <w:sz w:val="17"/>
        </w:rPr>
      </w:pPr>
    </w:p>
    <w:p>
      <w:pPr>
        <w:pStyle w:val="BodyText"/>
        <w:spacing w:before="92"/>
        <w:ind w:left="155" w:right="108"/>
        <w:jc w:val="both"/>
      </w:pPr>
      <w:r>
        <w:rPr/>
        <w:t>Manažer domácího týmu má právo znát sestavy hostujících družstev. Všechna družstva jsou povinna nejpozději 24 hodin před závodem nahlásit vedení soutěže své sestavy na určený E-mail kontakt.        V následující hodině budou sestavy zveřejněny. Domácí celek má právo znát sestavy svých</w:t>
      </w:r>
      <w:r>
        <w:rPr>
          <w:spacing w:val="-27"/>
        </w:rPr>
        <w:t> </w:t>
      </w:r>
      <w:r>
        <w:rPr/>
        <w:t>soupeřů.</w:t>
      </w:r>
    </w:p>
    <w:p>
      <w:pPr>
        <w:pStyle w:val="BodyText"/>
      </w:pPr>
    </w:p>
    <w:p>
      <w:pPr>
        <w:pStyle w:val="BodyText"/>
        <w:ind w:left="156" w:right="106"/>
        <w:jc w:val="both"/>
      </w:pPr>
      <w:r>
        <w:rPr/>
        <w:t>V sestavě kteréhokoli družstva může být kromě vlastních jezdců uveden jezdec, držitel licence AČR  ze soupisky jiného týmu. Tento jezdec musí mít souhlas manažera svého týmu.  Tímto  jezdcem nemůže být žádný ze tří nejlepších jezdců týmů, držitelů licence AČR z platné soupisky  k datu závodu. Tito jezdci budou vždy vyznačeni v platných soupiskách, které budou zveřejněny po každé úpravě nebo</w:t>
      </w:r>
      <w:r>
        <w:rPr>
          <w:spacing w:val="-6"/>
        </w:rPr>
        <w:t> </w:t>
      </w:r>
      <w:r>
        <w:rPr/>
        <w:t>závodu.</w:t>
      </w:r>
    </w:p>
    <w:p>
      <w:pPr>
        <w:pStyle w:val="BodyText"/>
        <w:spacing w:before="5"/>
      </w:pPr>
    </w:p>
    <w:p>
      <w:pPr>
        <w:pStyle w:val="Heading1"/>
        <w:tabs>
          <w:tab w:pos="1571" w:val="left" w:leader="none"/>
        </w:tabs>
        <w:ind w:left="156"/>
      </w:pPr>
      <w:r>
        <w:rPr/>
        <w:t>N</w:t>
      </w:r>
      <w:r>
        <w:rPr>
          <w:spacing w:val="-1"/>
        </w:rPr>
        <w:t> </w:t>
      </w:r>
      <w:r>
        <w:rPr/>
        <w:t>072. 3</w:t>
        <w:tab/>
        <w:t>Složení</w:t>
      </w:r>
      <w:r>
        <w:rPr>
          <w:spacing w:val="-4"/>
        </w:rPr>
        <w:t> </w:t>
      </w:r>
      <w:r>
        <w:rPr/>
        <w:t>družstva</w:t>
      </w:r>
    </w:p>
    <w:p>
      <w:pPr>
        <w:pStyle w:val="BodyText"/>
        <w:ind w:left="155" w:right="105"/>
        <w:jc w:val="both"/>
      </w:pPr>
      <w:r>
        <w:rPr/>
        <w:t>Družstvo tvoří čtyř – pět nahlášených závodníků, každý manažer může na prvním zasedání Jury provést jednu změnu ve své sestavě. Nejmenší počet jezdců týmu nutných pro klasifikaci družstva       v mistrovském podniku jsou čtyři závodníci. Žádný jezdec družstva nemůže absolvovat v závodě více jak šest jízd (pět + jednu jako taktická rezerva). Žádný jezdec nemůže v sérii jízd (za sérii je považována 1. - 4. jízda, 5. - 8. jízda, 9. - 12. jízda, 13. - 16. jízda a 17. - 20. jízda) startovat ve více jak dvou jízdách.</w:t>
      </w:r>
    </w:p>
    <w:p>
      <w:pPr>
        <w:pStyle w:val="BodyText"/>
        <w:rPr>
          <w:sz w:val="23"/>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51"/>
        <w:gridCol w:w="2012"/>
        <w:gridCol w:w="708"/>
        <w:gridCol w:w="708"/>
        <w:gridCol w:w="708"/>
        <w:gridCol w:w="1596"/>
      </w:tblGrid>
      <w:tr>
        <w:trPr>
          <w:trHeight w:val="248" w:hRule="exact"/>
        </w:trPr>
        <w:tc>
          <w:tcPr>
            <w:tcW w:w="2751" w:type="dxa"/>
          </w:tcPr>
          <w:p>
            <w:pPr>
              <w:pStyle w:val="TableParagraph"/>
              <w:spacing w:line="244" w:lineRule="exact"/>
              <w:ind w:left="50"/>
              <w:jc w:val="left"/>
              <w:rPr>
                <w:sz w:val="22"/>
              </w:rPr>
            </w:pPr>
            <w:r>
              <w:rPr>
                <w:sz w:val="22"/>
              </w:rPr>
              <w:t>Družstvo A (červený povlak)</w:t>
            </w:r>
          </w:p>
        </w:tc>
        <w:tc>
          <w:tcPr>
            <w:tcW w:w="2012" w:type="dxa"/>
          </w:tcPr>
          <w:p>
            <w:pPr>
              <w:pStyle w:val="TableParagraph"/>
              <w:spacing w:line="244" w:lineRule="exact"/>
              <w:ind w:left="131"/>
              <w:jc w:val="left"/>
              <w:rPr>
                <w:sz w:val="22"/>
              </w:rPr>
            </w:pPr>
            <w:r>
              <w:rPr>
                <w:sz w:val="22"/>
              </w:rPr>
              <w:t>Startovní číslo  1</w:t>
            </w:r>
          </w:p>
        </w:tc>
        <w:tc>
          <w:tcPr>
            <w:tcW w:w="708" w:type="dxa"/>
          </w:tcPr>
          <w:p>
            <w:pPr>
              <w:pStyle w:val="TableParagraph"/>
              <w:spacing w:line="244" w:lineRule="exact"/>
              <w:ind w:left="243"/>
              <w:jc w:val="left"/>
              <w:rPr>
                <w:sz w:val="22"/>
              </w:rPr>
            </w:pPr>
            <w:r>
              <w:rPr>
                <w:w w:val="100"/>
                <w:sz w:val="22"/>
              </w:rPr>
              <w:t>2</w:t>
            </w:r>
          </w:p>
        </w:tc>
        <w:tc>
          <w:tcPr>
            <w:tcW w:w="708" w:type="dxa"/>
          </w:tcPr>
          <w:p>
            <w:pPr>
              <w:pStyle w:val="TableParagraph"/>
              <w:spacing w:line="244" w:lineRule="exact"/>
              <w:ind w:right="108"/>
              <w:rPr>
                <w:sz w:val="22"/>
              </w:rPr>
            </w:pPr>
            <w:r>
              <w:rPr>
                <w:w w:val="100"/>
                <w:sz w:val="22"/>
              </w:rPr>
              <w:t>3</w:t>
            </w:r>
          </w:p>
        </w:tc>
        <w:tc>
          <w:tcPr>
            <w:tcW w:w="708" w:type="dxa"/>
          </w:tcPr>
          <w:p>
            <w:pPr>
              <w:pStyle w:val="TableParagraph"/>
              <w:spacing w:line="244" w:lineRule="exact"/>
              <w:ind w:right="108"/>
              <w:rPr>
                <w:sz w:val="22"/>
              </w:rPr>
            </w:pPr>
            <w:r>
              <w:rPr>
                <w:w w:val="100"/>
                <w:sz w:val="22"/>
              </w:rPr>
              <w:t>4</w:t>
            </w:r>
          </w:p>
        </w:tc>
        <w:tc>
          <w:tcPr>
            <w:tcW w:w="1596" w:type="dxa"/>
          </w:tcPr>
          <w:p>
            <w:pPr>
              <w:pStyle w:val="TableParagraph"/>
              <w:spacing w:line="244" w:lineRule="exact"/>
              <w:ind w:right="48"/>
              <w:jc w:val="right"/>
              <w:rPr>
                <w:sz w:val="22"/>
              </w:rPr>
            </w:pPr>
            <w:r>
              <w:rPr>
                <w:sz w:val="22"/>
              </w:rPr>
              <w:t>17 (náhradník)</w:t>
            </w:r>
          </w:p>
        </w:tc>
      </w:tr>
      <w:tr>
        <w:trPr>
          <w:trHeight w:val="253" w:hRule="exact"/>
        </w:trPr>
        <w:tc>
          <w:tcPr>
            <w:tcW w:w="2751" w:type="dxa"/>
          </w:tcPr>
          <w:p>
            <w:pPr>
              <w:pStyle w:val="TableParagraph"/>
              <w:ind w:left="50"/>
              <w:jc w:val="left"/>
              <w:rPr>
                <w:sz w:val="22"/>
              </w:rPr>
            </w:pPr>
            <w:r>
              <w:rPr>
                <w:sz w:val="22"/>
              </w:rPr>
              <w:t>Družstvo B (modrý povlak)</w:t>
            </w:r>
          </w:p>
        </w:tc>
        <w:tc>
          <w:tcPr>
            <w:tcW w:w="2012" w:type="dxa"/>
          </w:tcPr>
          <w:p>
            <w:pPr>
              <w:pStyle w:val="TableParagraph"/>
              <w:ind w:left="131"/>
              <w:jc w:val="left"/>
              <w:rPr>
                <w:sz w:val="22"/>
              </w:rPr>
            </w:pPr>
            <w:r>
              <w:rPr>
                <w:sz w:val="22"/>
              </w:rPr>
              <w:t>Startovní číslo  5</w:t>
            </w:r>
          </w:p>
        </w:tc>
        <w:tc>
          <w:tcPr>
            <w:tcW w:w="708" w:type="dxa"/>
          </w:tcPr>
          <w:p>
            <w:pPr>
              <w:pStyle w:val="TableParagraph"/>
              <w:ind w:left="243"/>
              <w:jc w:val="left"/>
              <w:rPr>
                <w:sz w:val="22"/>
              </w:rPr>
            </w:pPr>
            <w:r>
              <w:rPr>
                <w:w w:val="100"/>
                <w:sz w:val="22"/>
              </w:rPr>
              <w:t>6</w:t>
            </w:r>
          </w:p>
        </w:tc>
        <w:tc>
          <w:tcPr>
            <w:tcW w:w="708" w:type="dxa"/>
          </w:tcPr>
          <w:p>
            <w:pPr>
              <w:pStyle w:val="TableParagraph"/>
              <w:ind w:right="108"/>
              <w:rPr>
                <w:sz w:val="22"/>
              </w:rPr>
            </w:pPr>
            <w:r>
              <w:rPr>
                <w:w w:val="100"/>
                <w:sz w:val="22"/>
              </w:rPr>
              <w:t>7</w:t>
            </w:r>
          </w:p>
        </w:tc>
        <w:tc>
          <w:tcPr>
            <w:tcW w:w="708" w:type="dxa"/>
          </w:tcPr>
          <w:p>
            <w:pPr>
              <w:pStyle w:val="TableParagraph"/>
              <w:ind w:right="108"/>
              <w:rPr>
                <w:sz w:val="22"/>
              </w:rPr>
            </w:pPr>
            <w:r>
              <w:rPr>
                <w:w w:val="100"/>
                <w:sz w:val="22"/>
              </w:rPr>
              <w:t>8</w:t>
            </w:r>
          </w:p>
        </w:tc>
        <w:tc>
          <w:tcPr>
            <w:tcW w:w="1596" w:type="dxa"/>
          </w:tcPr>
          <w:p>
            <w:pPr>
              <w:pStyle w:val="TableParagraph"/>
              <w:ind w:right="48"/>
              <w:jc w:val="right"/>
              <w:rPr>
                <w:sz w:val="22"/>
              </w:rPr>
            </w:pPr>
            <w:r>
              <w:rPr>
                <w:sz w:val="22"/>
              </w:rPr>
              <w:t>18 (náhradník)</w:t>
            </w:r>
          </w:p>
        </w:tc>
      </w:tr>
      <w:tr>
        <w:trPr>
          <w:trHeight w:val="253" w:hRule="exact"/>
        </w:trPr>
        <w:tc>
          <w:tcPr>
            <w:tcW w:w="2751" w:type="dxa"/>
          </w:tcPr>
          <w:p>
            <w:pPr>
              <w:pStyle w:val="TableParagraph"/>
              <w:spacing w:line="249" w:lineRule="exact"/>
              <w:ind w:left="50"/>
              <w:jc w:val="left"/>
              <w:rPr>
                <w:sz w:val="22"/>
              </w:rPr>
            </w:pPr>
            <w:r>
              <w:rPr>
                <w:sz w:val="22"/>
              </w:rPr>
              <w:t>Družstvo C (bílý povlak)</w:t>
            </w:r>
          </w:p>
        </w:tc>
        <w:tc>
          <w:tcPr>
            <w:tcW w:w="2012" w:type="dxa"/>
          </w:tcPr>
          <w:p>
            <w:pPr>
              <w:pStyle w:val="TableParagraph"/>
              <w:spacing w:line="249" w:lineRule="exact"/>
              <w:ind w:left="131"/>
              <w:jc w:val="left"/>
              <w:rPr>
                <w:sz w:val="22"/>
              </w:rPr>
            </w:pPr>
            <w:r>
              <w:rPr>
                <w:sz w:val="22"/>
              </w:rPr>
              <w:t>Startovní číslo  9</w:t>
            </w:r>
          </w:p>
        </w:tc>
        <w:tc>
          <w:tcPr>
            <w:tcW w:w="708" w:type="dxa"/>
          </w:tcPr>
          <w:p>
            <w:pPr>
              <w:pStyle w:val="TableParagraph"/>
              <w:spacing w:line="249" w:lineRule="exact"/>
              <w:ind w:left="243"/>
              <w:jc w:val="left"/>
              <w:rPr>
                <w:sz w:val="22"/>
              </w:rPr>
            </w:pPr>
            <w:r>
              <w:rPr>
                <w:sz w:val="22"/>
              </w:rPr>
              <w:t>10</w:t>
            </w:r>
          </w:p>
        </w:tc>
        <w:tc>
          <w:tcPr>
            <w:tcW w:w="708" w:type="dxa"/>
          </w:tcPr>
          <w:p>
            <w:pPr>
              <w:pStyle w:val="TableParagraph"/>
              <w:spacing w:line="249" w:lineRule="exact"/>
              <w:ind w:left="224" w:right="224"/>
              <w:rPr>
                <w:sz w:val="22"/>
              </w:rPr>
            </w:pPr>
            <w:r>
              <w:rPr>
                <w:sz w:val="22"/>
              </w:rPr>
              <w:t>11</w:t>
            </w:r>
          </w:p>
        </w:tc>
        <w:tc>
          <w:tcPr>
            <w:tcW w:w="708" w:type="dxa"/>
          </w:tcPr>
          <w:p>
            <w:pPr>
              <w:pStyle w:val="TableParagraph"/>
              <w:spacing w:line="249" w:lineRule="exact"/>
              <w:ind w:left="224" w:right="224"/>
              <w:rPr>
                <w:sz w:val="22"/>
              </w:rPr>
            </w:pPr>
            <w:r>
              <w:rPr>
                <w:sz w:val="22"/>
              </w:rPr>
              <w:t>12</w:t>
            </w:r>
          </w:p>
        </w:tc>
        <w:tc>
          <w:tcPr>
            <w:tcW w:w="1596" w:type="dxa"/>
          </w:tcPr>
          <w:p>
            <w:pPr>
              <w:pStyle w:val="TableParagraph"/>
              <w:spacing w:line="249" w:lineRule="exact"/>
              <w:ind w:right="48"/>
              <w:jc w:val="right"/>
              <w:rPr>
                <w:sz w:val="22"/>
              </w:rPr>
            </w:pPr>
            <w:r>
              <w:rPr>
                <w:sz w:val="22"/>
              </w:rPr>
              <w:t>19 (náhradník)</w:t>
            </w:r>
          </w:p>
        </w:tc>
      </w:tr>
      <w:tr>
        <w:trPr>
          <w:trHeight w:val="248" w:hRule="exact"/>
        </w:trPr>
        <w:tc>
          <w:tcPr>
            <w:tcW w:w="2751" w:type="dxa"/>
          </w:tcPr>
          <w:p>
            <w:pPr>
              <w:pStyle w:val="TableParagraph"/>
              <w:ind w:left="50"/>
              <w:jc w:val="left"/>
              <w:rPr>
                <w:sz w:val="22"/>
              </w:rPr>
            </w:pPr>
            <w:r>
              <w:rPr>
                <w:sz w:val="22"/>
              </w:rPr>
              <w:t>Družstvo D (žlutý povlak)</w:t>
            </w:r>
          </w:p>
        </w:tc>
        <w:tc>
          <w:tcPr>
            <w:tcW w:w="2012" w:type="dxa"/>
          </w:tcPr>
          <w:p>
            <w:pPr>
              <w:pStyle w:val="TableParagraph"/>
              <w:ind w:left="131"/>
              <w:jc w:val="left"/>
              <w:rPr>
                <w:sz w:val="22"/>
              </w:rPr>
            </w:pPr>
            <w:r>
              <w:rPr>
                <w:sz w:val="22"/>
              </w:rPr>
              <w:t>Startovní číslo  13</w:t>
            </w:r>
          </w:p>
        </w:tc>
        <w:tc>
          <w:tcPr>
            <w:tcW w:w="708" w:type="dxa"/>
          </w:tcPr>
          <w:p>
            <w:pPr>
              <w:pStyle w:val="TableParagraph"/>
              <w:ind w:left="243"/>
              <w:jc w:val="left"/>
              <w:rPr>
                <w:sz w:val="22"/>
              </w:rPr>
            </w:pPr>
            <w:r>
              <w:rPr>
                <w:sz w:val="22"/>
              </w:rPr>
              <w:t>14</w:t>
            </w:r>
          </w:p>
        </w:tc>
        <w:tc>
          <w:tcPr>
            <w:tcW w:w="708" w:type="dxa"/>
          </w:tcPr>
          <w:p>
            <w:pPr>
              <w:pStyle w:val="TableParagraph"/>
              <w:ind w:left="224" w:right="224"/>
              <w:rPr>
                <w:sz w:val="22"/>
              </w:rPr>
            </w:pPr>
            <w:r>
              <w:rPr>
                <w:sz w:val="22"/>
              </w:rPr>
              <w:t>15</w:t>
            </w:r>
          </w:p>
        </w:tc>
        <w:tc>
          <w:tcPr>
            <w:tcW w:w="708" w:type="dxa"/>
          </w:tcPr>
          <w:p>
            <w:pPr>
              <w:pStyle w:val="TableParagraph"/>
              <w:ind w:left="224" w:right="224"/>
              <w:rPr>
                <w:sz w:val="22"/>
              </w:rPr>
            </w:pPr>
            <w:r>
              <w:rPr>
                <w:sz w:val="22"/>
              </w:rPr>
              <w:t>16</w:t>
            </w:r>
          </w:p>
        </w:tc>
        <w:tc>
          <w:tcPr>
            <w:tcW w:w="1596" w:type="dxa"/>
          </w:tcPr>
          <w:p>
            <w:pPr>
              <w:pStyle w:val="TableParagraph"/>
              <w:ind w:right="48"/>
              <w:jc w:val="right"/>
              <w:rPr>
                <w:sz w:val="22"/>
              </w:rPr>
            </w:pPr>
            <w:r>
              <w:rPr>
                <w:sz w:val="22"/>
              </w:rPr>
              <w:t>20 (náhradník)</w:t>
            </w:r>
          </w:p>
        </w:tc>
      </w:tr>
    </w:tbl>
    <w:p>
      <w:pPr>
        <w:pStyle w:val="BodyText"/>
      </w:pPr>
    </w:p>
    <w:p>
      <w:pPr>
        <w:pStyle w:val="BodyText"/>
        <w:ind w:left="156" w:right="107"/>
        <w:jc w:val="both"/>
      </w:pPr>
      <w:r>
        <w:rPr/>
        <w:t>Nasazení náhradníka musí manažer týmu nahlásit rozhodčímu nejpozději do skončení časového limitu dvou minut. (N 070. 10. 5). Není-li změna nahlášena, nebude brán na jezdcem získané body zřetel, jezdec nebude klasifikován. Náhradník může nahradit programového jezdce kdykoli během závodu až do naplnění povoleného počtu jízd. (v základní části závodu však pouze maximálně ve čtyřech jízdách a jednou jízdou navíc podle pravidla N 72.4 nebo N 72.5).</w:t>
      </w:r>
    </w:p>
    <w:p>
      <w:pPr>
        <w:pStyle w:val="BodyText"/>
        <w:spacing w:before="2"/>
      </w:pPr>
    </w:p>
    <w:p>
      <w:pPr>
        <w:pStyle w:val="Heading1"/>
        <w:tabs>
          <w:tab w:pos="1572" w:val="left" w:leader="none"/>
        </w:tabs>
        <w:spacing w:line="251" w:lineRule="exact"/>
        <w:ind w:left="156"/>
      </w:pPr>
      <w:r>
        <w:rPr/>
        <w:t>N</w:t>
      </w:r>
      <w:r>
        <w:rPr>
          <w:spacing w:val="-1"/>
        </w:rPr>
        <w:t> </w:t>
      </w:r>
      <w:r>
        <w:rPr/>
        <w:t>072. 4</w:t>
        <w:tab/>
        <w:t>Taktická</w:t>
      </w:r>
      <w:r>
        <w:rPr>
          <w:spacing w:val="-2"/>
        </w:rPr>
        <w:t> </w:t>
      </w:r>
      <w:r>
        <w:rPr/>
        <w:t>rezerva</w:t>
      </w:r>
    </w:p>
    <w:p>
      <w:pPr>
        <w:pStyle w:val="BodyText"/>
        <w:ind w:left="156" w:right="107"/>
        <w:jc w:val="both"/>
      </w:pPr>
      <w:r>
        <w:rPr/>
        <w:t>Každý z jezdců může nastoupit do jedné další jízdy jako taktická rezerva v případě, že jeho družstvo prohrává o 8 a více bodů. Každý z jezdců může startovat jako taktická rezerva pouze jednou. Použití této taktiky je možné naposledy v 16. jízdě závodu.</w:t>
      </w:r>
    </w:p>
    <w:p>
      <w:pPr>
        <w:pStyle w:val="BodyText"/>
      </w:pPr>
    </w:p>
    <w:p>
      <w:pPr>
        <w:pStyle w:val="BodyText"/>
        <w:ind w:left="156" w:right="108"/>
        <w:jc w:val="both"/>
      </w:pPr>
      <w:r>
        <w:rPr/>
        <w:t>Když se rozhodne družstvo použít taktickou rezervu, manažer družstva musí ihned prostřednictvím vedoucího depa informovat rozhodčího závodu o této změně, nejpozději před vjezdem prvního jezdce na dráhu jízdy, ve které dochází k této změně.</w:t>
      </w:r>
    </w:p>
    <w:p>
      <w:pPr>
        <w:pStyle w:val="BodyText"/>
        <w:spacing w:before="4"/>
      </w:pPr>
    </w:p>
    <w:p>
      <w:pPr>
        <w:pStyle w:val="Heading1"/>
        <w:tabs>
          <w:tab w:pos="1571" w:val="left" w:leader="none"/>
        </w:tabs>
        <w:spacing w:before="1"/>
        <w:ind w:left="156"/>
      </w:pPr>
      <w:r>
        <w:rPr/>
        <w:t>N</w:t>
      </w:r>
      <w:r>
        <w:rPr>
          <w:spacing w:val="-1"/>
        </w:rPr>
        <w:t> </w:t>
      </w:r>
      <w:r>
        <w:rPr/>
        <w:t>072. 5</w:t>
        <w:tab/>
        <w:t>Taktická rezerva</w:t>
      </w:r>
      <w:r>
        <w:rPr>
          <w:spacing w:val="-5"/>
        </w:rPr>
        <w:t> </w:t>
      </w:r>
      <w:r>
        <w:rPr/>
        <w:t>„Joker“</w:t>
      </w:r>
    </w:p>
    <w:p>
      <w:pPr>
        <w:pStyle w:val="BodyText"/>
        <w:spacing w:line="250" w:lineRule="exact"/>
        <w:ind w:left="156"/>
        <w:jc w:val="both"/>
      </w:pPr>
      <w:r>
        <w:rPr/>
        <w:t>Při použití této taktiky se získané body zdvojnásobí.</w:t>
      </w:r>
    </w:p>
    <w:p>
      <w:pPr>
        <w:pStyle w:val="BodyText"/>
      </w:pPr>
    </w:p>
    <w:p>
      <w:pPr>
        <w:pStyle w:val="BodyText"/>
        <w:ind w:left="156" w:right="109"/>
        <w:jc w:val="both"/>
      </w:pPr>
      <w:r>
        <w:rPr/>
        <w:t>Pokud družstvo prohrává o 8 a více bodů může manažer tohoto družstva jmenovat pro následující  jízdu jezdce taktiky "Joker". Manažer družstva může také jmenovat jezdcem této taktiky  programového jezdce. Použití této taktiky je možné naposledy v 16. jízdě</w:t>
      </w:r>
      <w:r>
        <w:rPr>
          <w:spacing w:val="-21"/>
        </w:rPr>
        <w:t> </w:t>
      </w:r>
      <w:r>
        <w:rPr/>
        <w:t>závodu.</w:t>
      </w:r>
    </w:p>
    <w:p>
      <w:pPr>
        <w:pStyle w:val="BodyText"/>
        <w:spacing w:before="1"/>
        <w:ind w:left="156"/>
        <w:jc w:val="both"/>
      </w:pPr>
      <w:r>
        <w:rPr/>
        <w:t>Každé družstvo může použít taktiku "Joker" jen jednou v celém závodě.</w:t>
      </w:r>
    </w:p>
    <w:p>
      <w:pPr>
        <w:pStyle w:val="BodyText"/>
        <w:spacing w:before="9"/>
        <w:rPr>
          <w:sz w:val="21"/>
        </w:rPr>
      </w:pPr>
    </w:p>
    <w:p>
      <w:pPr>
        <w:pStyle w:val="BodyText"/>
        <w:ind w:left="156" w:right="108"/>
        <w:jc w:val="both"/>
      </w:pPr>
      <w:r>
        <w:rPr/>
        <w:t>Žádný jezdec nemůže absolvovat víc jak jednu jízdu taktické rezervy navíc, buď jako taktická rezerva nebo jako jezdec taktiky "Joker".</w:t>
      </w:r>
    </w:p>
    <w:p>
      <w:pPr>
        <w:pStyle w:val="BodyText"/>
        <w:spacing w:before="11"/>
        <w:rPr>
          <w:sz w:val="21"/>
        </w:rPr>
      </w:pPr>
    </w:p>
    <w:p>
      <w:pPr>
        <w:pStyle w:val="BodyText"/>
        <w:ind w:left="156" w:right="108"/>
        <w:jc w:val="both"/>
      </w:pPr>
      <w:r>
        <w:rPr/>
        <w:t>Když se rozhodne družstvo použít taktiku "Joker", manažer družstva musí ihned prostřednictvím vedoucího depa informovat rozhodčího závodu o této změně, nejpozději před vjezdem prvního jezdce na dráhu jízdy, ve které dochází k této změně.</w:t>
      </w:r>
    </w:p>
    <w:p>
      <w:pPr>
        <w:spacing w:after="0"/>
        <w:jc w:val="both"/>
        <w:sectPr>
          <w:pgSz w:w="11900" w:h="16840"/>
          <w:pgMar w:header="710" w:footer="1014" w:top="920" w:bottom="1200" w:left="1260" w:right="1300"/>
        </w:sectPr>
      </w:pPr>
    </w:p>
    <w:p>
      <w:pPr>
        <w:pStyle w:val="BodyText"/>
        <w:rPr>
          <w:sz w:val="20"/>
        </w:rPr>
      </w:pPr>
    </w:p>
    <w:p>
      <w:pPr>
        <w:pStyle w:val="BodyText"/>
        <w:spacing w:before="11"/>
        <w:rPr>
          <w:sz w:val="15"/>
        </w:rPr>
      </w:pPr>
    </w:p>
    <w:p>
      <w:pPr>
        <w:pStyle w:val="Heading1"/>
        <w:tabs>
          <w:tab w:pos="2239" w:val="left" w:leader="none"/>
        </w:tabs>
        <w:spacing w:line="251" w:lineRule="exact" w:before="91"/>
      </w:pPr>
      <w:r>
        <w:rPr/>
        <w:t>N</w:t>
      </w:r>
      <w:r>
        <w:rPr>
          <w:spacing w:val="-1"/>
        </w:rPr>
        <w:t> </w:t>
      </w:r>
      <w:r>
        <w:rPr/>
        <w:t>072.6</w:t>
        <w:tab/>
        <w:t>Formát</w:t>
      </w:r>
      <w:r>
        <w:rPr>
          <w:spacing w:val="-1"/>
        </w:rPr>
        <w:t> </w:t>
      </w:r>
      <w:r>
        <w:rPr/>
        <w:t>závodu</w:t>
      </w:r>
    </w:p>
    <w:p>
      <w:pPr>
        <w:pStyle w:val="BodyText"/>
        <w:spacing w:line="251" w:lineRule="exact"/>
        <w:ind w:left="115"/>
        <w:jc w:val="both"/>
      </w:pPr>
      <w:r>
        <w:rPr/>
        <w:t>Jízdy se jedou na čtyři kola.</w:t>
      </w:r>
    </w:p>
    <w:p>
      <w:pPr>
        <w:pStyle w:val="BodyText"/>
        <w:spacing w:before="7"/>
      </w:pPr>
    </w:p>
    <w:tbl>
      <w:tblPr>
        <w:tblW w:w="0" w:type="auto"/>
        <w:jc w:val="left"/>
        <w:tblInd w:w="1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45"/>
        <w:gridCol w:w="1268"/>
        <w:gridCol w:w="1143"/>
        <w:gridCol w:w="1158"/>
        <w:gridCol w:w="1050"/>
      </w:tblGrid>
      <w:tr>
        <w:trPr>
          <w:trHeight w:val="254" w:hRule="exact"/>
        </w:trPr>
        <w:tc>
          <w:tcPr>
            <w:tcW w:w="1245" w:type="dxa"/>
          </w:tcPr>
          <w:p>
            <w:pPr>
              <w:pStyle w:val="TableParagraph"/>
              <w:spacing w:line="249" w:lineRule="exact"/>
              <w:ind w:left="32" w:right="200"/>
              <w:rPr>
                <w:b/>
                <w:sz w:val="22"/>
              </w:rPr>
            </w:pPr>
            <w:r>
              <w:rPr>
                <w:b/>
                <w:sz w:val="22"/>
              </w:rPr>
              <w:t>Jízda číslo</w:t>
            </w:r>
          </w:p>
        </w:tc>
        <w:tc>
          <w:tcPr>
            <w:tcW w:w="1268" w:type="dxa"/>
          </w:tcPr>
          <w:p>
            <w:pPr>
              <w:pStyle w:val="TableParagraph"/>
              <w:spacing w:line="244" w:lineRule="exact"/>
              <w:ind w:left="203" w:right="389"/>
              <w:rPr>
                <w:sz w:val="22"/>
              </w:rPr>
            </w:pPr>
            <w:r>
              <w:rPr>
                <w:sz w:val="22"/>
              </w:rPr>
              <w:t>Vnitřní</w:t>
            </w:r>
          </w:p>
        </w:tc>
        <w:tc>
          <w:tcPr>
            <w:tcW w:w="1143" w:type="dxa"/>
          </w:tcPr>
          <w:p>
            <w:pPr/>
          </w:p>
        </w:tc>
        <w:tc>
          <w:tcPr>
            <w:tcW w:w="1158" w:type="dxa"/>
          </w:tcPr>
          <w:p>
            <w:pPr/>
          </w:p>
        </w:tc>
        <w:tc>
          <w:tcPr>
            <w:tcW w:w="1050" w:type="dxa"/>
          </w:tcPr>
          <w:p>
            <w:pPr>
              <w:pStyle w:val="TableParagraph"/>
              <w:spacing w:line="244" w:lineRule="exact"/>
              <w:ind w:left="404" w:right="30"/>
              <w:rPr>
                <w:sz w:val="22"/>
              </w:rPr>
            </w:pPr>
            <w:r>
              <w:rPr>
                <w:sz w:val="22"/>
              </w:rPr>
              <w:t>Vnější</w:t>
            </w:r>
          </w:p>
        </w:tc>
      </w:tr>
      <w:tr>
        <w:trPr>
          <w:trHeight w:val="253" w:hRule="exact"/>
        </w:trPr>
        <w:tc>
          <w:tcPr>
            <w:tcW w:w="1245" w:type="dxa"/>
          </w:tcPr>
          <w:p>
            <w:pPr>
              <w:pStyle w:val="TableParagraph"/>
              <w:spacing w:line="249" w:lineRule="exact"/>
              <w:ind w:left="29" w:right="200"/>
              <w:rPr>
                <w:b/>
                <w:sz w:val="22"/>
              </w:rPr>
            </w:pPr>
            <w:r>
              <w:rPr>
                <w:b/>
                <w:sz w:val="22"/>
              </w:rPr>
              <w:t>1.</w:t>
            </w:r>
          </w:p>
        </w:tc>
        <w:tc>
          <w:tcPr>
            <w:tcW w:w="1268" w:type="dxa"/>
          </w:tcPr>
          <w:p>
            <w:pPr>
              <w:pStyle w:val="TableParagraph"/>
              <w:spacing w:line="249" w:lineRule="exact"/>
              <w:ind w:left="203" w:right="388"/>
              <w:rPr>
                <w:b/>
                <w:sz w:val="22"/>
              </w:rPr>
            </w:pPr>
            <w:r>
              <w:rPr>
                <w:b/>
                <w:sz w:val="22"/>
              </w:rPr>
              <w:t>12</w:t>
            </w:r>
          </w:p>
        </w:tc>
        <w:tc>
          <w:tcPr>
            <w:tcW w:w="1143" w:type="dxa"/>
          </w:tcPr>
          <w:p>
            <w:pPr>
              <w:pStyle w:val="TableParagraph"/>
              <w:spacing w:line="249" w:lineRule="exact"/>
              <w:ind w:right="100"/>
              <w:rPr>
                <w:b/>
                <w:sz w:val="22"/>
              </w:rPr>
            </w:pPr>
            <w:r>
              <w:rPr>
                <w:b/>
                <w:w w:val="100"/>
                <w:sz w:val="22"/>
              </w:rPr>
              <w:t>5</w:t>
            </w:r>
          </w:p>
        </w:tc>
        <w:tc>
          <w:tcPr>
            <w:tcW w:w="1158" w:type="dxa"/>
          </w:tcPr>
          <w:p>
            <w:pPr>
              <w:pStyle w:val="TableParagraph"/>
              <w:spacing w:line="249" w:lineRule="exact"/>
              <w:ind w:left="87"/>
              <w:rPr>
                <w:b/>
                <w:sz w:val="22"/>
              </w:rPr>
            </w:pPr>
            <w:r>
              <w:rPr>
                <w:b/>
                <w:w w:val="100"/>
                <w:sz w:val="22"/>
              </w:rPr>
              <w:t>4</w:t>
            </w:r>
          </w:p>
        </w:tc>
        <w:tc>
          <w:tcPr>
            <w:tcW w:w="1050" w:type="dxa"/>
          </w:tcPr>
          <w:p>
            <w:pPr>
              <w:pStyle w:val="TableParagraph"/>
              <w:spacing w:line="249" w:lineRule="exact"/>
              <w:ind w:left="404" w:right="29"/>
              <w:rPr>
                <w:b/>
                <w:sz w:val="22"/>
              </w:rPr>
            </w:pPr>
            <w:r>
              <w:rPr>
                <w:b/>
                <w:sz w:val="22"/>
              </w:rPr>
              <w:t>14</w:t>
            </w:r>
          </w:p>
        </w:tc>
      </w:tr>
      <w:tr>
        <w:trPr>
          <w:trHeight w:val="253" w:hRule="exact"/>
        </w:trPr>
        <w:tc>
          <w:tcPr>
            <w:tcW w:w="1245" w:type="dxa"/>
          </w:tcPr>
          <w:p>
            <w:pPr>
              <w:pStyle w:val="TableParagraph"/>
              <w:ind w:left="29" w:right="200"/>
              <w:rPr>
                <w:b/>
                <w:sz w:val="22"/>
              </w:rPr>
            </w:pPr>
            <w:r>
              <w:rPr>
                <w:b/>
                <w:sz w:val="22"/>
              </w:rPr>
              <w:t>2.</w:t>
            </w:r>
          </w:p>
        </w:tc>
        <w:tc>
          <w:tcPr>
            <w:tcW w:w="1268" w:type="dxa"/>
          </w:tcPr>
          <w:p>
            <w:pPr>
              <w:pStyle w:val="TableParagraph"/>
              <w:ind w:right="185"/>
              <w:rPr>
                <w:b/>
                <w:sz w:val="22"/>
              </w:rPr>
            </w:pPr>
            <w:r>
              <w:rPr>
                <w:b/>
                <w:w w:val="100"/>
                <w:sz w:val="22"/>
              </w:rPr>
              <w:t>6</w:t>
            </w:r>
          </w:p>
        </w:tc>
        <w:tc>
          <w:tcPr>
            <w:tcW w:w="1143" w:type="dxa"/>
          </w:tcPr>
          <w:p>
            <w:pPr>
              <w:pStyle w:val="TableParagraph"/>
              <w:ind w:right="100"/>
              <w:rPr>
                <w:b/>
                <w:sz w:val="22"/>
              </w:rPr>
            </w:pPr>
            <w:r>
              <w:rPr>
                <w:b/>
                <w:w w:val="100"/>
                <w:sz w:val="22"/>
              </w:rPr>
              <w:t>3</w:t>
            </w:r>
          </w:p>
        </w:tc>
        <w:tc>
          <w:tcPr>
            <w:tcW w:w="1158" w:type="dxa"/>
          </w:tcPr>
          <w:p>
            <w:pPr>
              <w:pStyle w:val="TableParagraph"/>
              <w:ind w:left="492" w:right="405"/>
              <w:rPr>
                <w:b/>
                <w:sz w:val="22"/>
              </w:rPr>
            </w:pPr>
            <w:r>
              <w:rPr>
                <w:b/>
                <w:sz w:val="22"/>
              </w:rPr>
              <w:t>13</w:t>
            </w:r>
          </w:p>
        </w:tc>
        <w:tc>
          <w:tcPr>
            <w:tcW w:w="1050" w:type="dxa"/>
          </w:tcPr>
          <w:p>
            <w:pPr>
              <w:pStyle w:val="TableParagraph"/>
              <w:ind w:left="404" w:right="29"/>
              <w:rPr>
                <w:b/>
                <w:sz w:val="22"/>
              </w:rPr>
            </w:pPr>
            <w:r>
              <w:rPr>
                <w:b/>
                <w:sz w:val="22"/>
              </w:rPr>
              <w:t>11</w:t>
            </w:r>
          </w:p>
        </w:tc>
      </w:tr>
      <w:tr>
        <w:trPr>
          <w:trHeight w:val="253" w:hRule="exact"/>
        </w:trPr>
        <w:tc>
          <w:tcPr>
            <w:tcW w:w="1245" w:type="dxa"/>
          </w:tcPr>
          <w:p>
            <w:pPr>
              <w:pStyle w:val="TableParagraph"/>
              <w:spacing w:line="249" w:lineRule="exact"/>
              <w:ind w:left="29" w:right="200"/>
              <w:rPr>
                <w:b/>
                <w:sz w:val="22"/>
              </w:rPr>
            </w:pPr>
            <w:r>
              <w:rPr>
                <w:b/>
                <w:sz w:val="22"/>
              </w:rPr>
              <w:t>3.</w:t>
            </w:r>
          </w:p>
        </w:tc>
        <w:tc>
          <w:tcPr>
            <w:tcW w:w="1268" w:type="dxa"/>
          </w:tcPr>
          <w:p>
            <w:pPr>
              <w:pStyle w:val="TableParagraph"/>
              <w:spacing w:line="249" w:lineRule="exact"/>
              <w:ind w:right="185"/>
              <w:rPr>
                <w:b/>
                <w:sz w:val="22"/>
              </w:rPr>
            </w:pPr>
            <w:r>
              <w:rPr>
                <w:b/>
                <w:w w:val="100"/>
                <w:sz w:val="22"/>
              </w:rPr>
              <w:t>2</w:t>
            </w:r>
          </w:p>
        </w:tc>
        <w:tc>
          <w:tcPr>
            <w:tcW w:w="1143" w:type="dxa"/>
          </w:tcPr>
          <w:p>
            <w:pPr>
              <w:pStyle w:val="TableParagraph"/>
              <w:spacing w:line="249" w:lineRule="exact"/>
              <w:ind w:right="100"/>
              <w:rPr>
                <w:b/>
                <w:sz w:val="22"/>
              </w:rPr>
            </w:pPr>
            <w:r>
              <w:rPr>
                <w:b/>
                <w:w w:val="100"/>
                <w:sz w:val="22"/>
              </w:rPr>
              <w:t>9</w:t>
            </w:r>
          </w:p>
        </w:tc>
        <w:tc>
          <w:tcPr>
            <w:tcW w:w="1158" w:type="dxa"/>
          </w:tcPr>
          <w:p>
            <w:pPr>
              <w:pStyle w:val="TableParagraph"/>
              <w:spacing w:line="249" w:lineRule="exact"/>
              <w:ind w:left="87"/>
              <w:rPr>
                <w:b/>
                <w:sz w:val="22"/>
              </w:rPr>
            </w:pPr>
            <w:r>
              <w:rPr>
                <w:b/>
                <w:w w:val="100"/>
                <w:sz w:val="22"/>
              </w:rPr>
              <w:t>8</w:t>
            </w:r>
          </w:p>
        </w:tc>
        <w:tc>
          <w:tcPr>
            <w:tcW w:w="1050" w:type="dxa"/>
          </w:tcPr>
          <w:p>
            <w:pPr>
              <w:pStyle w:val="TableParagraph"/>
              <w:spacing w:line="249" w:lineRule="exact"/>
              <w:ind w:left="404" w:right="29"/>
              <w:rPr>
                <w:b/>
                <w:sz w:val="22"/>
              </w:rPr>
            </w:pPr>
            <w:r>
              <w:rPr>
                <w:b/>
                <w:sz w:val="22"/>
              </w:rPr>
              <w:t>15</w:t>
            </w:r>
          </w:p>
        </w:tc>
      </w:tr>
      <w:tr>
        <w:trPr>
          <w:trHeight w:val="252" w:hRule="exact"/>
        </w:trPr>
        <w:tc>
          <w:tcPr>
            <w:tcW w:w="1245" w:type="dxa"/>
          </w:tcPr>
          <w:p>
            <w:pPr>
              <w:pStyle w:val="TableParagraph"/>
              <w:ind w:left="29" w:right="200"/>
              <w:rPr>
                <w:b/>
                <w:sz w:val="22"/>
              </w:rPr>
            </w:pPr>
            <w:r>
              <w:rPr>
                <w:b/>
                <w:sz w:val="22"/>
              </w:rPr>
              <w:t>4.</w:t>
            </w:r>
          </w:p>
        </w:tc>
        <w:tc>
          <w:tcPr>
            <w:tcW w:w="1268" w:type="dxa"/>
          </w:tcPr>
          <w:p>
            <w:pPr>
              <w:pStyle w:val="TableParagraph"/>
              <w:ind w:right="185"/>
              <w:rPr>
                <w:b/>
                <w:sz w:val="22"/>
              </w:rPr>
            </w:pPr>
            <w:r>
              <w:rPr>
                <w:b/>
                <w:w w:val="100"/>
                <w:sz w:val="22"/>
              </w:rPr>
              <w:t>7</w:t>
            </w:r>
          </w:p>
        </w:tc>
        <w:tc>
          <w:tcPr>
            <w:tcW w:w="1143" w:type="dxa"/>
          </w:tcPr>
          <w:p>
            <w:pPr>
              <w:pStyle w:val="TableParagraph"/>
              <w:ind w:right="100"/>
              <w:rPr>
                <w:b/>
                <w:sz w:val="22"/>
              </w:rPr>
            </w:pPr>
            <w:r>
              <w:rPr>
                <w:b/>
                <w:w w:val="100"/>
                <w:sz w:val="22"/>
              </w:rPr>
              <w:t>1</w:t>
            </w:r>
          </w:p>
        </w:tc>
        <w:tc>
          <w:tcPr>
            <w:tcW w:w="1158" w:type="dxa"/>
          </w:tcPr>
          <w:p>
            <w:pPr>
              <w:pStyle w:val="TableParagraph"/>
              <w:ind w:left="492" w:right="405"/>
              <w:rPr>
                <w:b/>
                <w:sz w:val="22"/>
              </w:rPr>
            </w:pPr>
            <w:r>
              <w:rPr>
                <w:b/>
                <w:sz w:val="22"/>
              </w:rPr>
              <w:t>16</w:t>
            </w:r>
          </w:p>
        </w:tc>
        <w:tc>
          <w:tcPr>
            <w:tcW w:w="1050" w:type="dxa"/>
          </w:tcPr>
          <w:p>
            <w:pPr>
              <w:pStyle w:val="TableParagraph"/>
              <w:ind w:left="404" w:right="29"/>
              <w:rPr>
                <w:b/>
                <w:sz w:val="22"/>
              </w:rPr>
            </w:pPr>
            <w:r>
              <w:rPr>
                <w:b/>
                <w:sz w:val="22"/>
              </w:rPr>
              <w:t>10</w:t>
            </w:r>
          </w:p>
        </w:tc>
      </w:tr>
      <w:tr>
        <w:trPr>
          <w:trHeight w:val="253" w:hRule="exact"/>
        </w:trPr>
        <w:tc>
          <w:tcPr>
            <w:tcW w:w="1245" w:type="dxa"/>
          </w:tcPr>
          <w:p>
            <w:pPr>
              <w:pStyle w:val="TableParagraph"/>
              <w:ind w:left="29" w:right="200"/>
              <w:rPr>
                <w:b/>
                <w:sz w:val="22"/>
              </w:rPr>
            </w:pPr>
            <w:r>
              <w:rPr>
                <w:b/>
                <w:sz w:val="22"/>
              </w:rPr>
              <w:t>5.</w:t>
            </w:r>
          </w:p>
        </w:tc>
        <w:tc>
          <w:tcPr>
            <w:tcW w:w="1268" w:type="dxa"/>
          </w:tcPr>
          <w:p>
            <w:pPr>
              <w:pStyle w:val="TableParagraph"/>
              <w:ind w:right="185"/>
              <w:rPr>
                <w:b/>
                <w:sz w:val="22"/>
              </w:rPr>
            </w:pPr>
            <w:r>
              <w:rPr>
                <w:b/>
                <w:w w:val="100"/>
                <w:sz w:val="22"/>
              </w:rPr>
              <w:t>9</w:t>
            </w:r>
          </w:p>
        </w:tc>
        <w:tc>
          <w:tcPr>
            <w:tcW w:w="1143" w:type="dxa"/>
          </w:tcPr>
          <w:p>
            <w:pPr>
              <w:pStyle w:val="TableParagraph"/>
              <w:ind w:left="391" w:right="491"/>
              <w:rPr>
                <w:b/>
                <w:sz w:val="22"/>
              </w:rPr>
            </w:pPr>
            <w:r>
              <w:rPr>
                <w:b/>
                <w:sz w:val="22"/>
              </w:rPr>
              <w:t>16</w:t>
            </w:r>
          </w:p>
        </w:tc>
        <w:tc>
          <w:tcPr>
            <w:tcW w:w="1158" w:type="dxa"/>
          </w:tcPr>
          <w:p>
            <w:pPr>
              <w:pStyle w:val="TableParagraph"/>
              <w:ind w:left="87"/>
              <w:rPr>
                <w:b/>
                <w:sz w:val="22"/>
              </w:rPr>
            </w:pPr>
            <w:r>
              <w:rPr>
                <w:b/>
                <w:w w:val="100"/>
                <w:sz w:val="22"/>
              </w:rPr>
              <w:t>6</w:t>
            </w:r>
          </w:p>
        </w:tc>
        <w:tc>
          <w:tcPr>
            <w:tcW w:w="1050" w:type="dxa"/>
          </w:tcPr>
          <w:p>
            <w:pPr>
              <w:pStyle w:val="TableParagraph"/>
              <w:ind w:left="375"/>
              <w:rPr>
                <w:b/>
                <w:sz w:val="22"/>
              </w:rPr>
            </w:pPr>
            <w:r>
              <w:rPr>
                <w:b/>
                <w:w w:val="100"/>
                <w:sz w:val="22"/>
              </w:rPr>
              <w:t>4</w:t>
            </w:r>
          </w:p>
        </w:tc>
      </w:tr>
      <w:tr>
        <w:trPr>
          <w:trHeight w:val="253" w:hRule="exact"/>
        </w:trPr>
        <w:tc>
          <w:tcPr>
            <w:tcW w:w="1245" w:type="dxa"/>
          </w:tcPr>
          <w:p>
            <w:pPr>
              <w:pStyle w:val="TableParagraph"/>
              <w:spacing w:line="249" w:lineRule="exact"/>
              <w:ind w:left="29" w:right="200"/>
              <w:rPr>
                <w:b/>
                <w:sz w:val="22"/>
              </w:rPr>
            </w:pPr>
            <w:r>
              <w:rPr>
                <w:b/>
                <w:sz w:val="22"/>
              </w:rPr>
              <w:t>6.</w:t>
            </w:r>
          </w:p>
        </w:tc>
        <w:tc>
          <w:tcPr>
            <w:tcW w:w="1268" w:type="dxa"/>
          </w:tcPr>
          <w:p>
            <w:pPr>
              <w:pStyle w:val="TableParagraph"/>
              <w:spacing w:line="249" w:lineRule="exact"/>
              <w:ind w:right="185"/>
              <w:rPr>
                <w:b/>
                <w:sz w:val="22"/>
              </w:rPr>
            </w:pPr>
            <w:r>
              <w:rPr>
                <w:b/>
                <w:w w:val="100"/>
                <w:sz w:val="22"/>
              </w:rPr>
              <w:t>3</w:t>
            </w:r>
          </w:p>
        </w:tc>
        <w:tc>
          <w:tcPr>
            <w:tcW w:w="1143" w:type="dxa"/>
          </w:tcPr>
          <w:p>
            <w:pPr>
              <w:pStyle w:val="TableParagraph"/>
              <w:spacing w:line="249" w:lineRule="exact"/>
              <w:ind w:left="391" w:right="491"/>
              <w:rPr>
                <w:b/>
                <w:sz w:val="22"/>
              </w:rPr>
            </w:pPr>
            <w:r>
              <w:rPr>
                <w:b/>
                <w:sz w:val="22"/>
              </w:rPr>
              <w:t>10</w:t>
            </w:r>
          </w:p>
        </w:tc>
        <w:tc>
          <w:tcPr>
            <w:tcW w:w="1158" w:type="dxa"/>
          </w:tcPr>
          <w:p>
            <w:pPr>
              <w:pStyle w:val="TableParagraph"/>
              <w:spacing w:line="249" w:lineRule="exact"/>
              <w:ind w:left="492" w:right="405"/>
              <w:rPr>
                <w:b/>
                <w:sz w:val="22"/>
              </w:rPr>
            </w:pPr>
            <w:r>
              <w:rPr>
                <w:b/>
                <w:sz w:val="22"/>
              </w:rPr>
              <w:t>15</w:t>
            </w:r>
          </w:p>
        </w:tc>
        <w:tc>
          <w:tcPr>
            <w:tcW w:w="1050" w:type="dxa"/>
          </w:tcPr>
          <w:p>
            <w:pPr>
              <w:pStyle w:val="TableParagraph"/>
              <w:spacing w:line="249" w:lineRule="exact"/>
              <w:ind w:left="375"/>
              <w:rPr>
                <w:b/>
                <w:sz w:val="22"/>
              </w:rPr>
            </w:pPr>
            <w:r>
              <w:rPr>
                <w:b/>
                <w:w w:val="100"/>
                <w:sz w:val="22"/>
              </w:rPr>
              <w:t>5</w:t>
            </w:r>
          </w:p>
        </w:tc>
      </w:tr>
      <w:tr>
        <w:trPr>
          <w:trHeight w:val="253" w:hRule="exact"/>
        </w:trPr>
        <w:tc>
          <w:tcPr>
            <w:tcW w:w="1245" w:type="dxa"/>
          </w:tcPr>
          <w:p>
            <w:pPr>
              <w:pStyle w:val="TableParagraph"/>
              <w:ind w:left="29" w:right="200"/>
              <w:rPr>
                <w:b/>
                <w:sz w:val="22"/>
              </w:rPr>
            </w:pPr>
            <w:r>
              <w:rPr>
                <w:b/>
                <w:sz w:val="22"/>
              </w:rPr>
              <w:t>7.</w:t>
            </w:r>
          </w:p>
        </w:tc>
        <w:tc>
          <w:tcPr>
            <w:tcW w:w="1268" w:type="dxa"/>
          </w:tcPr>
          <w:p>
            <w:pPr>
              <w:pStyle w:val="TableParagraph"/>
              <w:ind w:left="203" w:right="388"/>
              <w:rPr>
                <w:b/>
                <w:sz w:val="22"/>
              </w:rPr>
            </w:pPr>
            <w:r>
              <w:rPr>
                <w:b/>
                <w:sz w:val="22"/>
              </w:rPr>
              <w:t>13</w:t>
            </w:r>
          </w:p>
        </w:tc>
        <w:tc>
          <w:tcPr>
            <w:tcW w:w="1143" w:type="dxa"/>
          </w:tcPr>
          <w:p>
            <w:pPr>
              <w:pStyle w:val="TableParagraph"/>
              <w:ind w:left="391" w:right="491"/>
              <w:rPr>
                <w:b/>
                <w:sz w:val="22"/>
              </w:rPr>
            </w:pPr>
            <w:r>
              <w:rPr>
                <w:b/>
                <w:sz w:val="22"/>
              </w:rPr>
              <w:t>12</w:t>
            </w:r>
          </w:p>
        </w:tc>
        <w:tc>
          <w:tcPr>
            <w:tcW w:w="1158" w:type="dxa"/>
          </w:tcPr>
          <w:p>
            <w:pPr>
              <w:pStyle w:val="TableParagraph"/>
              <w:ind w:left="87"/>
              <w:rPr>
                <w:b/>
                <w:sz w:val="22"/>
              </w:rPr>
            </w:pPr>
            <w:r>
              <w:rPr>
                <w:b/>
                <w:w w:val="100"/>
                <w:sz w:val="22"/>
              </w:rPr>
              <w:t>7</w:t>
            </w:r>
          </w:p>
        </w:tc>
        <w:tc>
          <w:tcPr>
            <w:tcW w:w="1050" w:type="dxa"/>
          </w:tcPr>
          <w:p>
            <w:pPr>
              <w:pStyle w:val="TableParagraph"/>
              <w:ind w:left="375"/>
              <w:rPr>
                <w:b/>
                <w:sz w:val="22"/>
              </w:rPr>
            </w:pPr>
            <w:r>
              <w:rPr>
                <w:b/>
                <w:w w:val="100"/>
                <w:sz w:val="22"/>
              </w:rPr>
              <w:t>2</w:t>
            </w:r>
          </w:p>
        </w:tc>
      </w:tr>
      <w:tr>
        <w:trPr>
          <w:trHeight w:val="253" w:hRule="exact"/>
        </w:trPr>
        <w:tc>
          <w:tcPr>
            <w:tcW w:w="1245" w:type="dxa"/>
          </w:tcPr>
          <w:p>
            <w:pPr>
              <w:pStyle w:val="TableParagraph"/>
              <w:spacing w:line="249" w:lineRule="exact"/>
              <w:ind w:left="29" w:right="200"/>
              <w:rPr>
                <w:b/>
                <w:sz w:val="22"/>
              </w:rPr>
            </w:pPr>
            <w:r>
              <w:rPr>
                <w:b/>
                <w:sz w:val="22"/>
              </w:rPr>
              <w:t>8.</w:t>
            </w:r>
          </w:p>
        </w:tc>
        <w:tc>
          <w:tcPr>
            <w:tcW w:w="1268" w:type="dxa"/>
          </w:tcPr>
          <w:p>
            <w:pPr>
              <w:pStyle w:val="TableParagraph"/>
              <w:spacing w:line="249" w:lineRule="exact"/>
              <w:ind w:left="203" w:right="388"/>
              <w:rPr>
                <w:b/>
                <w:sz w:val="22"/>
              </w:rPr>
            </w:pPr>
            <w:r>
              <w:rPr>
                <w:b/>
                <w:sz w:val="22"/>
              </w:rPr>
              <w:t>11</w:t>
            </w:r>
          </w:p>
        </w:tc>
        <w:tc>
          <w:tcPr>
            <w:tcW w:w="1143" w:type="dxa"/>
          </w:tcPr>
          <w:p>
            <w:pPr>
              <w:pStyle w:val="TableParagraph"/>
              <w:spacing w:line="249" w:lineRule="exact"/>
              <w:ind w:left="391" w:right="491"/>
              <w:rPr>
                <w:b/>
                <w:sz w:val="22"/>
              </w:rPr>
            </w:pPr>
            <w:r>
              <w:rPr>
                <w:b/>
                <w:sz w:val="22"/>
              </w:rPr>
              <w:t>14</w:t>
            </w:r>
          </w:p>
        </w:tc>
        <w:tc>
          <w:tcPr>
            <w:tcW w:w="1158" w:type="dxa"/>
          </w:tcPr>
          <w:p>
            <w:pPr>
              <w:pStyle w:val="TableParagraph"/>
              <w:spacing w:line="249" w:lineRule="exact"/>
              <w:ind w:left="87"/>
              <w:rPr>
                <w:b/>
                <w:sz w:val="22"/>
              </w:rPr>
            </w:pPr>
            <w:r>
              <w:rPr>
                <w:b/>
                <w:w w:val="100"/>
                <w:sz w:val="22"/>
              </w:rPr>
              <w:t>1</w:t>
            </w:r>
          </w:p>
        </w:tc>
        <w:tc>
          <w:tcPr>
            <w:tcW w:w="1050" w:type="dxa"/>
          </w:tcPr>
          <w:p>
            <w:pPr>
              <w:pStyle w:val="TableParagraph"/>
              <w:spacing w:line="249" w:lineRule="exact"/>
              <w:ind w:left="375"/>
              <w:rPr>
                <w:b/>
                <w:sz w:val="22"/>
              </w:rPr>
            </w:pPr>
            <w:r>
              <w:rPr>
                <w:b/>
                <w:w w:val="100"/>
                <w:sz w:val="22"/>
              </w:rPr>
              <w:t>8</w:t>
            </w:r>
          </w:p>
        </w:tc>
      </w:tr>
      <w:tr>
        <w:trPr>
          <w:trHeight w:val="252" w:hRule="exact"/>
        </w:trPr>
        <w:tc>
          <w:tcPr>
            <w:tcW w:w="1245" w:type="dxa"/>
          </w:tcPr>
          <w:p>
            <w:pPr>
              <w:pStyle w:val="TableParagraph"/>
              <w:ind w:left="29" w:right="200"/>
              <w:rPr>
                <w:b/>
                <w:sz w:val="22"/>
              </w:rPr>
            </w:pPr>
            <w:r>
              <w:rPr>
                <w:b/>
                <w:sz w:val="22"/>
              </w:rPr>
              <w:t>9.</w:t>
            </w:r>
          </w:p>
        </w:tc>
        <w:tc>
          <w:tcPr>
            <w:tcW w:w="1268" w:type="dxa"/>
          </w:tcPr>
          <w:p>
            <w:pPr>
              <w:pStyle w:val="TableParagraph"/>
              <w:ind w:right="185"/>
              <w:rPr>
                <w:b/>
                <w:sz w:val="22"/>
              </w:rPr>
            </w:pPr>
            <w:r>
              <w:rPr>
                <w:b/>
                <w:w w:val="100"/>
                <w:sz w:val="22"/>
              </w:rPr>
              <w:t>8</w:t>
            </w:r>
          </w:p>
        </w:tc>
        <w:tc>
          <w:tcPr>
            <w:tcW w:w="1143" w:type="dxa"/>
          </w:tcPr>
          <w:p>
            <w:pPr>
              <w:pStyle w:val="TableParagraph"/>
              <w:ind w:right="100"/>
              <w:rPr>
                <w:b/>
                <w:sz w:val="22"/>
              </w:rPr>
            </w:pPr>
            <w:r>
              <w:rPr>
                <w:b/>
                <w:w w:val="100"/>
                <w:sz w:val="22"/>
              </w:rPr>
              <w:t>4</w:t>
            </w:r>
          </w:p>
        </w:tc>
        <w:tc>
          <w:tcPr>
            <w:tcW w:w="1158" w:type="dxa"/>
          </w:tcPr>
          <w:p>
            <w:pPr>
              <w:pStyle w:val="TableParagraph"/>
              <w:ind w:left="492" w:right="405"/>
              <w:rPr>
                <w:b/>
                <w:sz w:val="22"/>
              </w:rPr>
            </w:pPr>
            <w:r>
              <w:rPr>
                <w:b/>
                <w:sz w:val="22"/>
              </w:rPr>
              <w:t>10</w:t>
            </w:r>
          </w:p>
        </w:tc>
        <w:tc>
          <w:tcPr>
            <w:tcW w:w="1050" w:type="dxa"/>
          </w:tcPr>
          <w:p>
            <w:pPr>
              <w:pStyle w:val="TableParagraph"/>
              <w:ind w:left="404" w:right="29"/>
              <w:rPr>
                <w:b/>
                <w:sz w:val="22"/>
              </w:rPr>
            </w:pPr>
            <w:r>
              <w:rPr>
                <w:b/>
                <w:sz w:val="22"/>
              </w:rPr>
              <w:t>13</w:t>
            </w:r>
          </w:p>
        </w:tc>
      </w:tr>
      <w:tr>
        <w:trPr>
          <w:trHeight w:val="253" w:hRule="exact"/>
        </w:trPr>
        <w:tc>
          <w:tcPr>
            <w:tcW w:w="1245" w:type="dxa"/>
          </w:tcPr>
          <w:p>
            <w:pPr>
              <w:pStyle w:val="TableParagraph"/>
              <w:ind w:left="29" w:right="200"/>
              <w:rPr>
                <w:b/>
                <w:sz w:val="22"/>
              </w:rPr>
            </w:pPr>
            <w:r>
              <w:rPr>
                <w:b/>
                <w:sz w:val="22"/>
              </w:rPr>
              <w:t>10.</w:t>
            </w:r>
          </w:p>
        </w:tc>
        <w:tc>
          <w:tcPr>
            <w:tcW w:w="1268" w:type="dxa"/>
          </w:tcPr>
          <w:p>
            <w:pPr>
              <w:pStyle w:val="TableParagraph"/>
              <w:ind w:left="203" w:right="388"/>
              <w:rPr>
                <w:b/>
                <w:sz w:val="22"/>
              </w:rPr>
            </w:pPr>
            <w:r>
              <w:rPr>
                <w:b/>
                <w:sz w:val="22"/>
              </w:rPr>
              <w:t>14</w:t>
            </w:r>
          </w:p>
        </w:tc>
        <w:tc>
          <w:tcPr>
            <w:tcW w:w="1143" w:type="dxa"/>
          </w:tcPr>
          <w:p>
            <w:pPr>
              <w:pStyle w:val="TableParagraph"/>
              <w:ind w:right="100"/>
              <w:rPr>
                <w:b/>
                <w:sz w:val="22"/>
              </w:rPr>
            </w:pPr>
            <w:r>
              <w:rPr>
                <w:b/>
                <w:w w:val="100"/>
                <w:sz w:val="22"/>
              </w:rPr>
              <w:t>7</w:t>
            </w:r>
          </w:p>
        </w:tc>
        <w:tc>
          <w:tcPr>
            <w:tcW w:w="1158" w:type="dxa"/>
          </w:tcPr>
          <w:p>
            <w:pPr>
              <w:pStyle w:val="TableParagraph"/>
              <w:ind w:left="87"/>
              <w:rPr>
                <w:b/>
                <w:sz w:val="22"/>
              </w:rPr>
            </w:pPr>
            <w:r>
              <w:rPr>
                <w:b/>
                <w:w w:val="100"/>
                <w:sz w:val="22"/>
              </w:rPr>
              <w:t>9</w:t>
            </w:r>
          </w:p>
        </w:tc>
        <w:tc>
          <w:tcPr>
            <w:tcW w:w="1050" w:type="dxa"/>
          </w:tcPr>
          <w:p>
            <w:pPr>
              <w:pStyle w:val="TableParagraph"/>
              <w:ind w:left="375"/>
              <w:rPr>
                <w:b/>
                <w:sz w:val="22"/>
              </w:rPr>
            </w:pPr>
            <w:r>
              <w:rPr>
                <w:b/>
                <w:w w:val="100"/>
                <w:sz w:val="22"/>
              </w:rPr>
              <w:t>3</w:t>
            </w:r>
          </w:p>
        </w:tc>
      </w:tr>
      <w:tr>
        <w:trPr>
          <w:trHeight w:val="253" w:hRule="exact"/>
        </w:trPr>
        <w:tc>
          <w:tcPr>
            <w:tcW w:w="1245" w:type="dxa"/>
          </w:tcPr>
          <w:p>
            <w:pPr>
              <w:pStyle w:val="TableParagraph"/>
              <w:spacing w:line="249" w:lineRule="exact"/>
              <w:ind w:left="29" w:right="200"/>
              <w:rPr>
                <w:b/>
                <w:sz w:val="22"/>
              </w:rPr>
            </w:pPr>
            <w:r>
              <w:rPr>
                <w:b/>
                <w:sz w:val="22"/>
              </w:rPr>
              <w:t>11.</w:t>
            </w:r>
          </w:p>
        </w:tc>
        <w:tc>
          <w:tcPr>
            <w:tcW w:w="1268" w:type="dxa"/>
          </w:tcPr>
          <w:p>
            <w:pPr>
              <w:pStyle w:val="TableParagraph"/>
              <w:spacing w:line="249" w:lineRule="exact"/>
              <w:ind w:right="185"/>
              <w:rPr>
                <w:b/>
                <w:sz w:val="22"/>
              </w:rPr>
            </w:pPr>
            <w:r>
              <w:rPr>
                <w:b/>
                <w:w w:val="100"/>
                <w:sz w:val="22"/>
              </w:rPr>
              <w:t>5</w:t>
            </w:r>
          </w:p>
        </w:tc>
        <w:tc>
          <w:tcPr>
            <w:tcW w:w="1143" w:type="dxa"/>
          </w:tcPr>
          <w:p>
            <w:pPr>
              <w:pStyle w:val="TableParagraph"/>
              <w:spacing w:line="249" w:lineRule="exact"/>
              <w:ind w:left="391" w:right="491"/>
              <w:rPr>
                <w:b/>
                <w:sz w:val="22"/>
              </w:rPr>
            </w:pPr>
            <w:r>
              <w:rPr>
                <w:b/>
                <w:sz w:val="22"/>
              </w:rPr>
              <w:t>11</w:t>
            </w:r>
          </w:p>
        </w:tc>
        <w:tc>
          <w:tcPr>
            <w:tcW w:w="1158" w:type="dxa"/>
          </w:tcPr>
          <w:p>
            <w:pPr>
              <w:pStyle w:val="TableParagraph"/>
              <w:spacing w:line="249" w:lineRule="exact"/>
              <w:ind w:left="87"/>
              <w:rPr>
                <w:b/>
                <w:sz w:val="22"/>
              </w:rPr>
            </w:pPr>
            <w:r>
              <w:rPr>
                <w:b/>
                <w:w w:val="100"/>
                <w:sz w:val="22"/>
              </w:rPr>
              <w:t>2</w:t>
            </w:r>
          </w:p>
        </w:tc>
        <w:tc>
          <w:tcPr>
            <w:tcW w:w="1050" w:type="dxa"/>
          </w:tcPr>
          <w:p>
            <w:pPr>
              <w:pStyle w:val="TableParagraph"/>
              <w:spacing w:line="249" w:lineRule="exact"/>
              <w:ind w:left="404" w:right="29"/>
              <w:rPr>
                <w:b/>
                <w:sz w:val="22"/>
              </w:rPr>
            </w:pPr>
            <w:r>
              <w:rPr>
                <w:b/>
                <w:sz w:val="22"/>
              </w:rPr>
              <w:t>16</w:t>
            </w:r>
          </w:p>
        </w:tc>
      </w:tr>
      <w:tr>
        <w:trPr>
          <w:trHeight w:val="253" w:hRule="exact"/>
        </w:trPr>
        <w:tc>
          <w:tcPr>
            <w:tcW w:w="1245" w:type="dxa"/>
          </w:tcPr>
          <w:p>
            <w:pPr>
              <w:pStyle w:val="TableParagraph"/>
              <w:ind w:left="29" w:right="200"/>
              <w:rPr>
                <w:b/>
                <w:sz w:val="22"/>
              </w:rPr>
            </w:pPr>
            <w:r>
              <w:rPr>
                <w:b/>
                <w:sz w:val="22"/>
              </w:rPr>
              <w:t>12.</w:t>
            </w:r>
          </w:p>
        </w:tc>
        <w:tc>
          <w:tcPr>
            <w:tcW w:w="1268" w:type="dxa"/>
          </w:tcPr>
          <w:p>
            <w:pPr>
              <w:pStyle w:val="TableParagraph"/>
              <w:ind w:left="203" w:right="388"/>
              <w:rPr>
                <w:b/>
                <w:sz w:val="22"/>
              </w:rPr>
            </w:pPr>
            <w:r>
              <w:rPr>
                <w:b/>
                <w:sz w:val="22"/>
              </w:rPr>
              <w:t>15</w:t>
            </w:r>
          </w:p>
        </w:tc>
        <w:tc>
          <w:tcPr>
            <w:tcW w:w="1143" w:type="dxa"/>
          </w:tcPr>
          <w:p>
            <w:pPr>
              <w:pStyle w:val="TableParagraph"/>
              <w:ind w:right="100"/>
              <w:rPr>
                <w:b/>
                <w:sz w:val="22"/>
              </w:rPr>
            </w:pPr>
            <w:r>
              <w:rPr>
                <w:b/>
                <w:w w:val="100"/>
                <w:sz w:val="22"/>
              </w:rPr>
              <w:t>6</w:t>
            </w:r>
          </w:p>
        </w:tc>
        <w:tc>
          <w:tcPr>
            <w:tcW w:w="1158" w:type="dxa"/>
          </w:tcPr>
          <w:p>
            <w:pPr>
              <w:pStyle w:val="TableParagraph"/>
              <w:ind w:left="492" w:right="405"/>
              <w:rPr>
                <w:b/>
                <w:sz w:val="22"/>
              </w:rPr>
            </w:pPr>
            <w:r>
              <w:rPr>
                <w:b/>
                <w:sz w:val="22"/>
              </w:rPr>
              <w:t>12</w:t>
            </w:r>
          </w:p>
        </w:tc>
        <w:tc>
          <w:tcPr>
            <w:tcW w:w="1050" w:type="dxa"/>
          </w:tcPr>
          <w:p>
            <w:pPr>
              <w:pStyle w:val="TableParagraph"/>
              <w:ind w:left="375"/>
              <w:rPr>
                <w:b/>
                <w:sz w:val="22"/>
              </w:rPr>
            </w:pPr>
            <w:r>
              <w:rPr>
                <w:b/>
                <w:w w:val="100"/>
                <w:sz w:val="22"/>
              </w:rPr>
              <w:t>1</w:t>
            </w:r>
          </w:p>
        </w:tc>
      </w:tr>
      <w:tr>
        <w:trPr>
          <w:trHeight w:val="253" w:hRule="exact"/>
        </w:trPr>
        <w:tc>
          <w:tcPr>
            <w:tcW w:w="1245" w:type="dxa"/>
          </w:tcPr>
          <w:p>
            <w:pPr>
              <w:pStyle w:val="TableParagraph"/>
              <w:spacing w:line="249" w:lineRule="exact"/>
              <w:ind w:left="29" w:right="200"/>
              <w:rPr>
                <w:b/>
                <w:sz w:val="22"/>
              </w:rPr>
            </w:pPr>
            <w:r>
              <w:rPr>
                <w:b/>
                <w:sz w:val="22"/>
              </w:rPr>
              <w:t>13.</w:t>
            </w:r>
          </w:p>
        </w:tc>
        <w:tc>
          <w:tcPr>
            <w:tcW w:w="1268" w:type="dxa"/>
          </w:tcPr>
          <w:p>
            <w:pPr>
              <w:pStyle w:val="TableParagraph"/>
              <w:spacing w:line="249" w:lineRule="exact"/>
              <w:ind w:left="203" w:right="388"/>
              <w:rPr>
                <w:b/>
                <w:sz w:val="22"/>
              </w:rPr>
            </w:pPr>
            <w:r>
              <w:rPr>
                <w:b/>
                <w:sz w:val="22"/>
              </w:rPr>
              <w:t>16</w:t>
            </w:r>
          </w:p>
        </w:tc>
        <w:tc>
          <w:tcPr>
            <w:tcW w:w="1143" w:type="dxa"/>
          </w:tcPr>
          <w:p>
            <w:pPr>
              <w:pStyle w:val="TableParagraph"/>
              <w:spacing w:line="249" w:lineRule="exact"/>
              <w:ind w:right="100"/>
              <w:rPr>
                <w:b/>
                <w:sz w:val="22"/>
              </w:rPr>
            </w:pPr>
            <w:r>
              <w:rPr>
                <w:b/>
                <w:w w:val="100"/>
                <w:sz w:val="22"/>
              </w:rPr>
              <w:t>8</w:t>
            </w:r>
          </w:p>
        </w:tc>
        <w:tc>
          <w:tcPr>
            <w:tcW w:w="1158" w:type="dxa"/>
          </w:tcPr>
          <w:p>
            <w:pPr>
              <w:pStyle w:val="TableParagraph"/>
              <w:spacing w:line="249" w:lineRule="exact"/>
              <w:ind w:left="87"/>
              <w:rPr>
                <w:b/>
                <w:sz w:val="22"/>
              </w:rPr>
            </w:pPr>
            <w:r>
              <w:rPr>
                <w:b/>
                <w:w w:val="100"/>
                <w:sz w:val="22"/>
              </w:rPr>
              <w:t>3</w:t>
            </w:r>
          </w:p>
        </w:tc>
        <w:tc>
          <w:tcPr>
            <w:tcW w:w="1050" w:type="dxa"/>
          </w:tcPr>
          <w:p>
            <w:pPr>
              <w:pStyle w:val="TableParagraph"/>
              <w:spacing w:line="249" w:lineRule="exact"/>
              <w:ind w:left="404" w:right="29"/>
              <w:rPr>
                <w:b/>
                <w:sz w:val="22"/>
              </w:rPr>
            </w:pPr>
            <w:r>
              <w:rPr>
                <w:b/>
                <w:sz w:val="22"/>
              </w:rPr>
              <w:t>12</w:t>
            </w:r>
          </w:p>
        </w:tc>
      </w:tr>
      <w:tr>
        <w:trPr>
          <w:trHeight w:val="253" w:hRule="exact"/>
        </w:trPr>
        <w:tc>
          <w:tcPr>
            <w:tcW w:w="1245" w:type="dxa"/>
          </w:tcPr>
          <w:p>
            <w:pPr>
              <w:pStyle w:val="TableParagraph"/>
              <w:ind w:left="29" w:right="200"/>
              <w:rPr>
                <w:b/>
                <w:sz w:val="22"/>
              </w:rPr>
            </w:pPr>
            <w:r>
              <w:rPr>
                <w:b/>
                <w:sz w:val="22"/>
              </w:rPr>
              <w:t>14.</w:t>
            </w:r>
          </w:p>
        </w:tc>
        <w:tc>
          <w:tcPr>
            <w:tcW w:w="1268" w:type="dxa"/>
          </w:tcPr>
          <w:p>
            <w:pPr>
              <w:pStyle w:val="TableParagraph"/>
              <w:ind w:right="185"/>
              <w:rPr>
                <w:b/>
                <w:sz w:val="22"/>
              </w:rPr>
            </w:pPr>
            <w:r>
              <w:rPr>
                <w:b/>
                <w:w w:val="100"/>
                <w:sz w:val="22"/>
              </w:rPr>
              <w:t>4</w:t>
            </w:r>
          </w:p>
        </w:tc>
        <w:tc>
          <w:tcPr>
            <w:tcW w:w="1143" w:type="dxa"/>
          </w:tcPr>
          <w:p>
            <w:pPr>
              <w:pStyle w:val="TableParagraph"/>
              <w:ind w:left="391" w:right="491"/>
              <w:rPr>
                <w:b/>
                <w:sz w:val="22"/>
              </w:rPr>
            </w:pPr>
            <w:r>
              <w:rPr>
                <w:b/>
                <w:sz w:val="22"/>
              </w:rPr>
              <w:t>15</w:t>
            </w:r>
          </w:p>
        </w:tc>
        <w:tc>
          <w:tcPr>
            <w:tcW w:w="1158" w:type="dxa"/>
          </w:tcPr>
          <w:p>
            <w:pPr>
              <w:pStyle w:val="TableParagraph"/>
              <w:ind w:left="492" w:right="405"/>
              <w:rPr>
                <w:b/>
                <w:sz w:val="22"/>
              </w:rPr>
            </w:pPr>
            <w:r>
              <w:rPr>
                <w:b/>
                <w:sz w:val="22"/>
              </w:rPr>
              <w:t>11</w:t>
            </w:r>
          </w:p>
        </w:tc>
        <w:tc>
          <w:tcPr>
            <w:tcW w:w="1050" w:type="dxa"/>
          </w:tcPr>
          <w:p>
            <w:pPr>
              <w:pStyle w:val="TableParagraph"/>
              <w:ind w:left="375"/>
              <w:rPr>
                <w:b/>
                <w:sz w:val="22"/>
              </w:rPr>
            </w:pPr>
            <w:r>
              <w:rPr>
                <w:b/>
                <w:w w:val="100"/>
                <w:sz w:val="22"/>
              </w:rPr>
              <w:t>7</w:t>
            </w:r>
          </w:p>
        </w:tc>
      </w:tr>
      <w:tr>
        <w:trPr>
          <w:trHeight w:val="253" w:hRule="exact"/>
        </w:trPr>
        <w:tc>
          <w:tcPr>
            <w:tcW w:w="1245" w:type="dxa"/>
          </w:tcPr>
          <w:p>
            <w:pPr>
              <w:pStyle w:val="TableParagraph"/>
              <w:spacing w:line="249" w:lineRule="exact"/>
              <w:ind w:left="29" w:right="200"/>
              <w:rPr>
                <w:b/>
                <w:sz w:val="22"/>
              </w:rPr>
            </w:pPr>
            <w:r>
              <w:rPr>
                <w:b/>
                <w:sz w:val="22"/>
              </w:rPr>
              <w:t>15.</w:t>
            </w:r>
          </w:p>
        </w:tc>
        <w:tc>
          <w:tcPr>
            <w:tcW w:w="1268" w:type="dxa"/>
          </w:tcPr>
          <w:p>
            <w:pPr>
              <w:pStyle w:val="TableParagraph"/>
              <w:spacing w:line="249" w:lineRule="exact"/>
              <w:ind w:left="203" w:right="388"/>
              <w:rPr>
                <w:b/>
                <w:sz w:val="22"/>
              </w:rPr>
            </w:pPr>
            <w:r>
              <w:rPr>
                <w:b/>
                <w:sz w:val="22"/>
              </w:rPr>
              <w:t>10</w:t>
            </w:r>
          </w:p>
        </w:tc>
        <w:tc>
          <w:tcPr>
            <w:tcW w:w="1143" w:type="dxa"/>
          </w:tcPr>
          <w:p>
            <w:pPr>
              <w:pStyle w:val="TableParagraph"/>
              <w:spacing w:line="249" w:lineRule="exact"/>
              <w:ind w:right="100"/>
              <w:rPr>
                <w:b/>
                <w:sz w:val="22"/>
              </w:rPr>
            </w:pPr>
            <w:r>
              <w:rPr>
                <w:b/>
                <w:w w:val="100"/>
                <w:sz w:val="22"/>
              </w:rPr>
              <w:t>2</w:t>
            </w:r>
          </w:p>
        </w:tc>
        <w:tc>
          <w:tcPr>
            <w:tcW w:w="1158" w:type="dxa"/>
          </w:tcPr>
          <w:p>
            <w:pPr>
              <w:pStyle w:val="TableParagraph"/>
              <w:spacing w:line="249" w:lineRule="exact"/>
              <w:ind w:left="492" w:right="405"/>
              <w:rPr>
                <w:b/>
                <w:sz w:val="22"/>
              </w:rPr>
            </w:pPr>
            <w:r>
              <w:rPr>
                <w:b/>
                <w:sz w:val="22"/>
              </w:rPr>
              <w:t>14</w:t>
            </w:r>
          </w:p>
        </w:tc>
        <w:tc>
          <w:tcPr>
            <w:tcW w:w="1050" w:type="dxa"/>
          </w:tcPr>
          <w:p>
            <w:pPr>
              <w:pStyle w:val="TableParagraph"/>
              <w:spacing w:line="249" w:lineRule="exact"/>
              <w:ind w:left="375"/>
              <w:rPr>
                <w:b/>
                <w:sz w:val="22"/>
              </w:rPr>
            </w:pPr>
            <w:r>
              <w:rPr>
                <w:b/>
                <w:w w:val="100"/>
                <w:sz w:val="22"/>
              </w:rPr>
              <w:t>6</w:t>
            </w:r>
          </w:p>
        </w:tc>
      </w:tr>
      <w:tr>
        <w:trPr>
          <w:trHeight w:val="248" w:hRule="exact"/>
        </w:trPr>
        <w:tc>
          <w:tcPr>
            <w:tcW w:w="1245" w:type="dxa"/>
          </w:tcPr>
          <w:p>
            <w:pPr>
              <w:pStyle w:val="TableParagraph"/>
              <w:ind w:left="29" w:right="200"/>
              <w:rPr>
                <w:b/>
                <w:sz w:val="22"/>
              </w:rPr>
            </w:pPr>
            <w:r>
              <w:rPr>
                <w:b/>
                <w:sz w:val="22"/>
              </w:rPr>
              <w:t>16.</w:t>
            </w:r>
          </w:p>
        </w:tc>
        <w:tc>
          <w:tcPr>
            <w:tcW w:w="1268" w:type="dxa"/>
          </w:tcPr>
          <w:p>
            <w:pPr>
              <w:pStyle w:val="TableParagraph"/>
              <w:ind w:right="185"/>
              <w:rPr>
                <w:b/>
                <w:sz w:val="22"/>
              </w:rPr>
            </w:pPr>
            <w:r>
              <w:rPr>
                <w:b/>
                <w:w w:val="100"/>
                <w:sz w:val="22"/>
              </w:rPr>
              <w:t>1</w:t>
            </w:r>
          </w:p>
        </w:tc>
        <w:tc>
          <w:tcPr>
            <w:tcW w:w="1143" w:type="dxa"/>
          </w:tcPr>
          <w:p>
            <w:pPr>
              <w:pStyle w:val="TableParagraph"/>
              <w:ind w:left="391" w:right="491"/>
              <w:rPr>
                <w:b/>
                <w:sz w:val="22"/>
              </w:rPr>
            </w:pPr>
            <w:r>
              <w:rPr>
                <w:b/>
                <w:sz w:val="22"/>
              </w:rPr>
              <w:t>13</w:t>
            </w:r>
          </w:p>
        </w:tc>
        <w:tc>
          <w:tcPr>
            <w:tcW w:w="1158" w:type="dxa"/>
          </w:tcPr>
          <w:p>
            <w:pPr>
              <w:pStyle w:val="TableParagraph"/>
              <w:ind w:left="87"/>
              <w:rPr>
                <w:b/>
                <w:sz w:val="22"/>
              </w:rPr>
            </w:pPr>
            <w:r>
              <w:rPr>
                <w:b/>
                <w:w w:val="100"/>
                <w:sz w:val="22"/>
              </w:rPr>
              <w:t>5</w:t>
            </w:r>
          </w:p>
        </w:tc>
        <w:tc>
          <w:tcPr>
            <w:tcW w:w="1050" w:type="dxa"/>
          </w:tcPr>
          <w:p>
            <w:pPr>
              <w:pStyle w:val="TableParagraph"/>
              <w:ind w:left="375"/>
              <w:rPr>
                <w:b/>
                <w:sz w:val="22"/>
              </w:rPr>
            </w:pPr>
            <w:r>
              <w:rPr>
                <w:b/>
                <w:w w:val="100"/>
                <w:sz w:val="22"/>
              </w:rPr>
              <w:t>9</w:t>
            </w:r>
          </w:p>
        </w:tc>
      </w:tr>
    </w:tbl>
    <w:p>
      <w:pPr>
        <w:pStyle w:val="BodyText"/>
        <w:spacing w:before="5"/>
        <w:rPr>
          <w:sz w:val="21"/>
        </w:rPr>
      </w:pPr>
    </w:p>
    <w:p>
      <w:pPr>
        <w:spacing w:before="0"/>
        <w:ind w:left="116" w:right="107" w:firstLine="0"/>
        <w:jc w:val="both"/>
        <w:rPr>
          <w:sz w:val="22"/>
        </w:rPr>
      </w:pPr>
      <w:r>
        <w:rPr>
          <w:sz w:val="24"/>
        </w:rPr>
        <w:t>Po skončení jízd 1. – 16. bude stanovena průběžná klasifikace družstev na 1. – 4. pozici podle celkového počtu bodů každého družstva, které získalo v průběhu těchto jízd. </w:t>
      </w:r>
      <w:r>
        <w:rPr>
          <w:sz w:val="22"/>
        </w:rPr>
        <w:t>V případě bodové rovnosti družstev bude dána v průběžné klasifikaci přednost družstvu, jehož jezdci mají větší počet dosažených prvních, druhých, třetích nebo čtvrtých míst v jednotlivých jízdách. Trvá-li i po tomto porovnání bodová rovnost je rozhodujícím kritériem pro určení pořadí výsledek 16. jízdy.</w:t>
      </w:r>
    </w:p>
    <w:p>
      <w:pPr>
        <w:pStyle w:val="BodyText"/>
        <w:spacing w:before="9"/>
        <w:rPr>
          <w:sz w:val="21"/>
        </w:rPr>
      </w:pPr>
    </w:p>
    <w:p>
      <w:pPr>
        <w:pStyle w:val="BodyText"/>
        <w:ind w:left="116" w:right="110"/>
        <w:jc w:val="both"/>
      </w:pPr>
      <w:r>
        <w:rPr/>
        <w:t>Jízda číslo 17. je jízdou, ve které startují junioři jednotlivých týmů. Jízdy18. – 20. jsou jízdy nominované. Startují v nich jezdci na základě nominace svých manažerů.</w:t>
      </w:r>
    </w:p>
    <w:p>
      <w:pPr>
        <w:pStyle w:val="BodyText"/>
        <w:spacing w:before="11"/>
        <w:rPr>
          <w:sz w:val="21"/>
        </w:rPr>
      </w:pPr>
    </w:p>
    <w:p>
      <w:pPr>
        <w:pStyle w:val="BodyText"/>
        <w:ind w:left="116" w:right="107"/>
        <w:jc w:val="both"/>
      </w:pPr>
      <w:r>
        <w:rPr/>
        <w:t>Manažer družstva, které je klasifikováno po 16. jízdě na 4. pozici, oznámí jako první nasazení svých jezdců do závěrečných jízd. Jako druhý oznámí nasazení svých jezdců manažer třetího družstva po 16. jízdě. Manažer družstva, které je v průběžné klasifikaci na 2. místě ohlásí nasazení svých jezdců jako třetí. Poslední hlásí nasazení svých jezdců manažer nejlepšího týmu po 16. jízdě závodu. Manažer může nasadit kteréhokoli člena svého týmu, kromě jezdců se startovním číslem 2, 8, 9 a 15, kteří jsou účastníky jízdy číslo 17.</w:t>
      </w:r>
    </w:p>
    <w:p>
      <w:pPr>
        <w:pStyle w:val="BodyText"/>
        <w:spacing w:before="9"/>
        <w:rPr>
          <w:sz w:val="21"/>
        </w:rPr>
      </w:pPr>
    </w:p>
    <w:p>
      <w:pPr>
        <w:pStyle w:val="BodyText"/>
        <w:ind w:left="116"/>
        <w:jc w:val="both"/>
      </w:pPr>
      <w:r>
        <w:rPr/>
        <w:t>Postavení jezdců jednotlivých družstev na startu jízd 1. – 17.</w:t>
      </w:r>
    </w:p>
    <w:p>
      <w:pPr>
        <w:pStyle w:val="BodyText"/>
        <w:spacing w:before="9"/>
      </w:pPr>
    </w:p>
    <w:tbl>
      <w:tblPr>
        <w:tblW w:w="0" w:type="auto"/>
        <w:jc w:val="left"/>
        <w:tblInd w:w="1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45"/>
        <w:gridCol w:w="1284"/>
        <w:gridCol w:w="1128"/>
        <w:gridCol w:w="1142"/>
        <w:gridCol w:w="1065"/>
      </w:tblGrid>
      <w:tr>
        <w:trPr>
          <w:trHeight w:val="252" w:hRule="exact"/>
        </w:trPr>
        <w:tc>
          <w:tcPr>
            <w:tcW w:w="1245" w:type="dxa"/>
          </w:tcPr>
          <w:p>
            <w:pPr>
              <w:pStyle w:val="TableParagraph"/>
              <w:spacing w:line="249" w:lineRule="exact"/>
              <w:ind w:left="32" w:right="200"/>
              <w:rPr>
                <w:b/>
                <w:sz w:val="22"/>
              </w:rPr>
            </w:pPr>
            <w:r>
              <w:rPr>
                <w:b/>
                <w:sz w:val="22"/>
              </w:rPr>
              <w:t>Jízda číslo</w:t>
            </w:r>
          </w:p>
        </w:tc>
        <w:tc>
          <w:tcPr>
            <w:tcW w:w="1284" w:type="dxa"/>
          </w:tcPr>
          <w:p>
            <w:pPr>
              <w:pStyle w:val="TableParagraph"/>
              <w:spacing w:line="244" w:lineRule="exact"/>
              <w:ind w:left="203" w:right="405"/>
              <w:rPr>
                <w:sz w:val="22"/>
              </w:rPr>
            </w:pPr>
            <w:r>
              <w:rPr>
                <w:sz w:val="22"/>
              </w:rPr>
              <w:t>Vnitřní</w:t>
            </w:r>
          </w:p>
        </w:tc>
        <w:tc>
          <w:tcPr>
            <w:tcW w:w="1128" w:type="dxa"/>
          </w:tcPr>
          <w:p>
            <w:pPr/>
          </w:p>
        </w:tc>
        <w:tc>
          <w:tcPr>
            <w:tcW w:w="1142" w:type="dxa"/>
          </w:tcPr>
          <w:p>
            <w:pPr/>
          </w:p>
        </w:tc>
        <w:tc>
          <w:tcPr>
            <w:tcW w:w="1065" w:type="dxa"/>
          </w:tcPr>
          <w:p>
            <w:pPr>
              <w:pStyle w:val="TableParagraph"/>
              <w:spacing w:line="244" w:lineRule="exact"/>
              <w:ind w:left="419" w:right="30"/>
              <w:rPr>
                <w:sz w:val="22"/>
              </w:rPr>
            </w:pPr>
            <w:r>
              <w:rPr>
                <w:sz w:val="22"/>
              </w:rPr>
              <w:t>Vnější</w:t>
            </w:r>
          </w:p>
        </w:tc>
      </w:tr>
      <w:tr>
        <w:trPr>
          <w:trHeight w:val="253" w:hRule="exact"/>
        </w:trPr>
        <w:tc>
          <w:tcPr>
            <w:tcW w:w="1245" w:type="dxa"/>
          </w:tcPr>
          <w:p>
            <w:pPr>
              <w:pStyle w:val="TableParagraph"/>
              <w:spacing w:line="252" w:lineRule="exact"/>
              <w:ind w:left="29" w:right="200"/>
              <w:rPr>
                <w:b/>
                <w:sz w:val="22"/>
              </w:rPr>
            </w:pPr>
            <w:r>
              <w:rPr>
                <w:b/>
                <w:sz w:val="22"/>
              </w:rPr>
              <w:t>17.</w:t>
            </w:r>
          </w:p>
        </w:tc>
        <w:tc>
          <w:tcPr>
            <w:tcW w:w="1284" w:type="dxa"/>
          </w:tcPr>
          <w:p>
            <w:pPr>
              <w:pStyle w:val="TableParagraph"/>
              <w:spacing w:line="247" w:lineRule="exact"/>
              <w:ind w:left="203" w:right="404"/>
              <w:rPr>
                <w:sz w:val="22"/>
              </w:rPr>
            </w:pPr>
            <w:r>
              <w:rPr>
                <w:sz w:val="22"/>
              </w:rPr>
              <w:t>15</w:t>
            </w:r>
          </w:p>
        </w:tc>
        <w:tc>
          <w:tcPr>
            <w:tcW w:w="1128" w:type="dxa"/>
          </w:tcPr>
          <w:p>
            <w:pPr>
              <w:pStyle w:val="TableParagraph"/>
              <w:spacing w:line="247" w:lineRule="exact"/>
              <w:ind w:left="449"/>
              <w:jc w:val="left"/>
              <w:rPr>
                <w:sz w:val="22"/>
              </w:rPr>
            </w:pPr>
            <w:r>
              <w:rPr>
                <w:w w:val="100"/>
                <w:sz w:val="22"/>
              </w:rPr>
              <w:t>9</w:t>
            </w:r>
          </w:p>
        </w:tc>
        <w:tc>
          <w:tcPr>
            <w:tcW w:w="1142" w:type="dxa"/>
          </w:tcPr>
          <w:p>
            <w:pPr>
              <w:pStyle w:val="TableParagraph"/>
              <w:spacing w:line="247" w:lineRule="exact"/>
              <w:ind w:left="102"/>
              <w:rPr>
                <w:sz w:val="22"/>
              </w:rPr>
            </w:pPr>
            <w:r>
              <w:rPr>
                <w:w w:val="100"/>
                <w:sz w:val="22"/>
              </w:rPr>
              <w:t>8</w:t>
            </w:r>
          </w:p>
        </w:tc>
        <w:tc>
          <w:tcPr>
            <w:tcW w:w="1065" w:type="dxa"/>
          </w:tcPr>
          <w:p>
            <w:pPr>
              <w:pStyle w:val="TableParagraph"/>
              <w:spacing w:line="247" w:lineRule="exact"/>
              <w:ind w:left="390"/>
              <w:rPr>
                <w:sz w:val="22"/>
              </w:rPr>
            </w:pPr>
            <w:r>
              <w:rPr>
                <w:w w:val="100"/>
                <w:sz w:val="22"/>
              </w:rPr>
              <w:t>2</w:t>
            </w:r>
          </w:p>
        </w:tc>
      </w:tr>
      <w:tr>
        <w:trPr>
          <w:trHeight w:val="252" w:hRule="exact"/>
        </w:trPr>
        <w:tc>
          <w:tcPr>
            <w:tcW w:w="1245" w:type="dxa"/>
          </w:tcPr>
          <w:p>
            <w:pPr>
              <w:pStyle w:val="TableParagraph"/>
              <w:spacing w:line="250" w:lineRule="exact"/>
              <w:ind w:left="29" w:right="200"/>
              <w:rPr>
                <w:b/>
                <w:sz w:val="22"/>
              </w:rPr>
            </w:pPr>
            <w:r>
              <w:rPr>
                <w:b/>
                <w:sz w:val="22"/>
              </w:rPr>
              <w:t>18.</w:t>
            </w:r>
          </w:p>
        </w:tc>
        <w:tc>
          <w:tcPr>
            <w:tcW w:w="1284" w:type="dxa"/>
          </w:tcPr>
          <w:p>
            <w:pPr>
              <w:pStyle w:val="TableParagraph"/>
              <w:spacing w:line="246" w:lineRule="exact"/>
              <w:ind w:right="203"/>
              <w:rPr>
                <w:sz w:val="22"/>
              </w:rPr>
            </w:pPr>
            <w:r>
              <w:rPr>
                <w:w w:val="100"/>
                <w:sz w:val="22"/>
              </w:rPr>
              <w:t>B</w:t>
            </w:r>
          </w:p>
        </w:tc>
        <w:tc>
          <w:tcPr>
            <w:tcW w:w="1128" w:type="dxa"/>
          </w:tcPr>
          <w:p>
            <w:pPr>
              <w:pStyle w:val="TableParagraph"/>
              <w:spacing w:line="246" w:lineRule="exact"/>
              <w:ind w:left="425"/>
              <w:jc w:val="left"/>
              <w:rPr>
                <w:sz w:val="22"/>
              </w:rPr>
            </w:pPr>
            <w:r>
              <w:rPr>
                <w:w w:val="100"/>
                <w:sz w:val="22"/>
              </w:rPr>
              <w:t>D</w:t>
            </w:r>
          </w:p>
        </w:tc>
        <w:tc>
          <w:tcPr>
            <w:tcW w:w="1142" w:type="dxa"/>
          </w:tcPr>
          <w:p>
            <w:pPr>
              <w:pStyle w:val="TableParagraph"/>
              <w:spacing w:line="246" w:lineRule="exact"/>
              <w:ind w:left="100"/>
              <w:rPr>
                <w:sz w:val="22"/>
              </w:rPr>
            </w:pPr>
            <w:r>
              <w:rPr>
                <w:w w:val="100"/>
                <w:sz w:val="22"/>
              </w:rPr>
              <w:t>C</w:t>
            </w:r>
          </w:p>
        </w:tc>
        <w:tc>
          <w:tcPr>
            <w:tcW w:w="1065" w:type="dxa"/>
          </w:tcPr>
          <w:p>
            <w:pPr>
              <w:pStyle w:val="TableParagraph"/>
              <w:spacing w:line="246" w:lineRule="exact"/>
              <w:ind w:left="392"/>
              <w:rPr>
                <w:sz w:val="22"/>
              </w:rPr>
            </w:pPr>
            <w:r>
              <w:rPr>
                <w:w w:val="100"/>
                <w:sz w:val="22"/>
              </w:rPr>
              <w:t>A</w:t>
            </w:r>
          </w:p>
        </w:tc>
      </w:tr>
      <w:tr>
        <w:trPr>
          <w:trHeight w:val="253" w:hRule="exact"/>
        </w:trPr>
        <w:tc>
          <w:tcPr>
            <w:tcW w:w="1245" w:type="dxa"/>
          </w:tcPr>
          <w:p>
            <w:pPr>
              <w:pStyle w:val="TableParagraph"/>
              <w:spacing w:line="250" w:lineRule="exact"/>
              <w:ind w:left="29" w:right="200"/>
              <w:rPr>
                <w:b/>
                <w:sz w:val="22"/>
              </w:rPr>
            </w:pPr>
            <w:r>
              <w:rPr>
                <w:b/>
                <w:sz w:val="22"/>
              </w:rPr>
              <w:t>19.</w:t>
            </w:r>
          </w:p>
        </w:tc>
        <w:tc>
          <w:tcPr>
            <w:tcW w:w="1284" w:type="dxa"/>
          </w:tcPr>
          <w:p>
            <w:pPr>
              <w:pStyle w:val="TableParagraph"/>
              <w:spacing w:line="246" w:lineRule="exact"/>
              <w:ind w:right="200"/>
              <w:rPr>
                <w:sz w:val="22"/>
              </w:rPr>
            </w:pPr>
            <w:r>
              <w:rPr>
                <w:w w:val="100"/>
                <w:sz w:val="22"/>
              </w:rPr>
              <w:t>A</w:t>
            </w:r>
          </w:p>
        </w:tc>
        <w:tc>
          <w:tcPr>
            <w:tcW w:w="1128" w:type="dxa"/>
          </w:tcPr>
          <w:p>
            <w:pPr>
              <w:pStyle w:val="TableParagraph"/>
              <w:spacing w:line="246" w:lineRule="exact"/>
              <w:ind w:left="430"/>
              <w:jc w:val="left"/>
              <w:rPr>
                <w:sz w:val="22"/>
              </w:rPr>
            </w:pPr>
            <w:r>
              <w:rPr>
                <w:w w:val="100"/>
                <w:sz w:val="22"/>
              </w:rPr>
              <w:t>B</w:t>
            </w:r>
          </w:p>
        </w:tc>
        <w:tc>
          <w:tcPr>
            <w:tcW w:w="1142" w:type="dxa"/>
          </w:tcPr>
          <w:p>
            <w:pPr>
              <w:pStyle w:val="TableParagraph"/>
              <w:spacing w:line="246" w:lineRule="exact"/>
              <w:ind w:left="103"/>
              <w:rPr>
                <w:sz w:val="22"/>
              </w:rPr>
            </w:pPr>
            <w:r>
              <w:rPr>
                <w:w w:val="100"/>
                <w:sz w:val="22"/>
              </w:rPr>
              <w:t>D</w:t>
            </w:r>
          </w:p>
        </w:tc>
        <w:tc>
          <w:tcPr>
            <w:tcW w:w="1065" w:type="dxa"/>
          </w:tcPr>
          <w:p>
            <w:pPr>
              <w:pStyle w:val="TableParagraph"/>
              <w:spacing w:line="246" w:lineRule="exact"/>
              <w:ind w:left="389"/>
              <w:rPr>
                <w:sz w:val="22"/>
              </w:rPr>
            </w:pPr>
            <w:r>
              <w:rPr>
                <w:w w:val="100"/>
                <w:sz w:val="22"/>
              </w:rPr>
              <w:t>C</w:t>
            </w:r>
          </w:p>
        </w:tc>
      </w:tr>
      <w:tr>
        <w:trPr>
          <w:trHeight w:val="252" w:hRule="exact"/>
        </w:trPr>
        <w:tc>
          <w:tcPr>
            <w:tcW w:w="1245" w:type="dxa"/>
          </w:tcPr>
          <w:p>
            <w:pPr>
              <w:pStyle w:val="TableParagraph"/>
              <w:spacing w:line="252" w:lineRule="exact"/>
              <w:ind w:left="29" w:right="200"/>
              <w:rPr>
                <w:b/>
                <w:sz w:val="22"/>
              </w:rPr>
            </w:pPr>
            <w:r>
              <w:rPr>
                <w:b/>
                <w:sz w:val="22"/>
              </w:rPr>
              <w:t>20.</w:t>
            </w:r>
          </w:p>
        </w:tc>
        <w:tc>
          <w:tcPr>
            <w:tcW w:w="1284" w:type="dxa"/>
          </w:tcPr>
          <w:p>
            <w:pPr>
              <w:pStyle w:val="TableParagraph"/>
              <w:spacing w:line="247" w:lineRule="exact"/>
              <w:ind w:right="203"/>
              <w:rPr>
                <w:sz w:val="22"/>
              </w:rPr>
            </w:pPr>
            <w:r>
              <w:rPr>
                <w:w w:val="100"/>
                <w:sz w:val="22"/>
              </w:rPr>
              <w:t>C</w:t>
            </w:r>
          </w:p>
        </w:tc>
        <w:tc>
          <w:tcPr>
            <w:tcW w:w="1128" w:type="dxa"/>
          </w:tcPr>
          <w:p>
            <w:pPr>
              <w:pStyle w:val="TableParagraph"/>
              <w:spacing w:line="247" w:lineRule="exact"/>
              <w:ind w:left="425"/>
              <w:jc w:val="left"/>
              <w:rPr>
                <w:sz w:val="22"/>
              </w:rPr>
            </w:pPr>
            <w:r>
              <w:rPr>
                <w:w w:val="100"/>
                <w:sz w:val="22"/>
              </w:rPr>
              <w:t>A</w:t>
            </w:r>
          </w:p>
        </w:tc>
        <w:tc>
          <w:tcPr>
            <w:tcW w:w="1142" w:type="dxa"/>
          </w:tcPr>
          <w:p>
            <w:pPr>
              <w:pStyle w:val="TableParagraph"/>
              <w:spacing w:line="247" w:lineRule="exact"/>
              <w:ind w:left="100"/>
              <w:rPr>
                <w:sz w:val="22"/>
              </w:rPr>
            </w:pPr>
            <w:r>
              <w:rPr>
                <w:w w:val="100"/>
                <w:sz w:val="22"/>
              </w:rPr>
              <w:t>B</w:t>
            </w:r>
          </w:p>
        </w:tc>
        <w:tc>
          <w:tcPr>
            <w:tcW w:w="1065" w:type="dxa"/>
          </w:tcPr>
          <w:p>
            <w:pPr>
              <w:pStyle w:val="TableParagraph"/>
              <w:spacing w:line="247" w:lineRule="exact"/>
              <w:ind w:left="392"/>
              <w:rPr>
                <w:sz w:val="22"/>
              </w:rPr>
            </w:pPr>
            <w:r>
              <w:rPr>
                <w:w w:val="100"/>
                <w:sz w:val="22"/>
              </w:rPr>
              <w:t>D</w:t>
            </w:r>
          </w:p>
        </w:tc>
      </w:tr>
    </w:tbl>
    <w:p>
      <w:pPr>
        <w:pStyle w:val="BodyText"/>
      </w:pPr>
    </w:p>
    <w:p>
      <w:pPr>
        <w:pStyle w:val="Heading1"/>
        <w:tabs>
          <w:tab w:pos="1531" w:val="left" w:leader="none"/>
        </w:tabs>
        <w:ind w:left="116"/>
      </w:pPr>
      <w:r>
        <w:rPr/>
        <w:t>N</w:t>
      </w:r>
      <w:r>
        <w:rPr>
          <w:spacing w:val="-1"/>
        </w:rPr>
        <w:t> </w:t>
      </w:r>
      <w:r>
        <w:rPr/>
        <w:t>072. 7</w:t>
        <w:tab/>
        <w:t>Body a rovnost bodů v</w:t>
      </w:r>
      <w:r>
        <w:rPr>
          <w:spacing w:val="-11"/>
        </w:rPr>
        <w:t> </w:t>
      </w:r>
      <w:r>
        <w:rPr/>
        <w:t>klasifikaci</w:t>
      </w:r>
    </w:p>
    <w:p>
      <w:pPr>
        <w:pStyle w:val="BodyText"/>
        <w:ind w:left="115" w:right="108"/>
        <w:jc w:val="both"/>
      </w:pPr>
      <w:r>
        <w:rPr/>
        <w:t>Družstvo, které získá nejvyšší počet bodů v závodě základní části soutěže si do celkové klasifikace Extraligy započítá 4 body, družstvo, které v závodě získá druhý nejvyšší počet bodů si do celkové klasifikace Extraligy započítá 3 body, družstvo s třetím nejvyšším počtem bodů si do celkové klasifikace Extraligy započítá 2 body a čtvrtý tým v celkové klasifikaci 1 bod.</w:t>
      </w:r>
    </w:p>
    <w:p>
      <w:pPr>
        <w:pStyle w:val="BodyText"/>
        <w:spacing w:before="3"/>
      </w:pPr>
    </w:p>
    <w:p>
      <w:pPr>
        <w:pStyle w:val="BodyText"/>
        <w:ind w:left="116" w:right="108"/>
        <w:jc w:val="both"/>
      </w:pPr>
      <w:r>
        <w:rPr/>
        <w:t>Družstvo, které získá nejvyšší počet bodů v pátém finálovém závodě si do celkové klasifikace Extraligy započítá 8 bodů, družstvo, které v závodě získá druhý nejvyšší počet bodů si do celkové klasifikace Extraligy započítá 6 bodů, družstvo s třetím nejvyšším počtem bodů si do celkové klasifikace Extraligy započítá 4 body a čtvrtý tým v celkové klasifikaci 2 body.</w:t>
      </w:r>
    </w:p>
    <w:p>
      <w:pPr>
        <w:spacing w:after="0"/>
        <w:jc w:val="both"/>
        <w:sectPr>
          <w:pgSz w:w="11900" w:h="16840"/>
          <w:pgMar w:header="710" w:footer="1014" w:top="920" w:bottom="1200" w:left="1300" w:right="1300"/>
        </w:sectPr>
      </w:pPr>
    </w:p>
    <w:p>
      <w:pPr>
        <w:pStyle w:val="BodyText"/>
        <w:rPr>
          <w:sz w:val="20"/>
        </w:rPr>
      </w:pPr>
    </w:p>
    <w:p>
      <w:pPr>
        <w:pStyle w:val="BodyText"/>
        <w:rPr>
          <w:sz w:val="20"/>
        </w:rPr>
      </w:pPr>
    </w:p>
    <w:p>
      <w:pPr>
        <w:pStyle w:val="BodyText"/>
        <w:spacing w:before="7"/>
        <w:rPr>
          <w:sz w:val="17"/>
        </w:rPr>
      </w:pPr>
    </w:p>
    <w:p>
      <w:pPr>
        <w:pStyle w:val="BodyText"/>
        <w:spacing w:before="92"/>
        <w:ind w:left="116"/>
      </w:pPr>
      <w:r>
        <w:rPr/>
        <w:t>V případě rovnosti bodů po 20. jízdě v závodě rozhoduje dodatková jízda jednoho jezdce z každého družstva, kterého se bodová rovnost týká.</w:t>
      </w:r>
    </w:p>
    <w:p>
      <w:pPr>
        <w:pStyle w:val="BodyText"/>
      </w:pPr>
    </w:p>
    <w:p>
      <w:pPr>
        <w:pStyle w:val="BodyText"/>
        <w:spacing w:line="252" w:lineRule="exact"/>
        <w:ind w:left="116"/>
      </w:pPr>
      <w:r>
        <w:rPr/>
        <w:t>Při rovnosti bodů v průběžné klasifikaci Extraligy rozhoduje:</w:t>
      </w:r>
    </w:p>
    <w:p>
      <w:pPr>
        <w:pStyle w:val="ListParagraph"/>
        <w:numPr>
          <w:ilvl w:val="0"/>
          <w:numId w:val="1"/>
        </w:numPr>
        <w:tabs>
          <w:tab w:pos="354" w:val="left" w:leader="none"/>
        </w:tabs>
        <w:spacing w:line="252" w:lineRule="exact" w:before="0" w:after="0"/>
        <w:ind w:left="115" w:right="0" w:firstLine="1"/>
        <w:jc w:val="left"/>
        <w:rPr>
          <w:sz w:val="22"/>
        </w:rPr>
      </w:pPr>
      <w:r>
        <w:rPr>
          <w:sz w:val="22"/>
        </w:rPr>
        <w:t>Větší počet bodů ze všech jízd</w:t>
      </w:r>
      <w:r>
        <w:rPr>
          <w:spacing w:val="-8"/>
          <w:sz w:val="22"/>
        </w:rPr>
        <w:t> </w:t>
      </w:r>
      <w:r>
        <w:rPr>
          <w:sz w:val="22"/>
        </w:rPr>
        <w:t>soutěže</w:t>
      </w:r>
    </w:p>
    <w:p>
      <w:pPr>
        <w:pStyle w:val="ListParagraph"/>
        <w:numPr>
          <w:ilvl w:val="0"/>
          <w:numId w:val="1"/>
        </w:numPr>
        <w:tabs>
          <w:tab w:pos="412" w:val="left" w:leader="none"/>
        </w:tabs>
        <w:spacing w:line="252" w:lineRule="exact" w:before="1" w:after="0"/>
        <w:ind w:left="411" w:right="0" w:hanging="295"/>
        <w:jc w:val="left"/>
        <w:rPr>
          <w:sz w:val="22"/>
        </w:rPr>
      </w:pPr>
      <w:r>
        <w:rPr>
          <w:sz w:val="22"/>
        </w:rPr>
        <w:t>Pořadí  v posledním  uskutečněném  závodě  s výjimkou  absolutní  rovnosti  bodů  na  1.  místě</w:t>
      </w:r>
      <w:r>
        <w:rPr>
          <w:spacing w:val="39"/>
          <w:sz w:val="22"/>
        </w:rPr>
        <w:t> </w:t>
      </w:r>
      <w:r>
        <w:rPr>
          <w:sz w:val="22"/>
        </w:rPr>
        <w:t>po</w:t>
      </w:r>
    </w:p>
    <w:p>
      <w:pPr>
        <w:pStyle w:val="BodyText"/>
        <w:spacing w:line="252" w:lineRule="exact"/>
        <w:ind w:left="115"/>
      </w:pPr>
      <w:r>
        <w:rPr/>
        <w:t>čtvrtém závodě soutěže.</w:t>
      </w:r>
    </w:p>
    <w:p>
      <w:pPr>
        <w:pStyle w:val="ListParagraph"/>
        <w:numPr>
          <w:ilvl w:val="0"/>
          <w:numId w:val="1"/>
        </w:numPr>
        <w:tabs>
          <w:tab w:pos="373" w:val="left" w:leader="none"/>
        </w:tabs>
        <w:spacing w:line="240" w:lineRule="auto" w:before="0" w:after="0"/>
        <w:ind w:left="115" w:right="107" w:firstLine="1"/>
        <w:jc w:val="left"/>
        <w:rPr>
          <w:sz w:val="22"/>
        </w:rPr>
      </w:pPr>
      <w:r>
        <w:rPr>
          <w:sz w:val="22"/>
        </w:rPr>
        <w:t>Dodatková jízda jednoho jezdce z každého družstva s absolutní rovností všech bodů rozhodující o vedoucím týmu po čtvrtém závodě</w:t>
      </w:r>
      <w:r>
        <w:rPr>
          <w:spacing w:val="-10"/>
          <w:sz w:val="22"/>
        </w:rPr>
        <w:t> </w:t>
      </w:r>
      <w:r>
        <w:rPr>
          <w:sz w:val="22"/>
        </w:rPr>
        <w:t>soutěže</w:t>
      </w:r>
    </w:p>
    <w:p>
      <w:pPr>
        <w:pStyle w:val="BodyText"/>
      </w:pPr>
    </w:p>
    <w:p>
      <w:pPr>
        <w:pStyle w:val="BodyText"/>
        <w:ind w:left="115" w:right="515"/>
      </w:pPr>
      <w:r>
        <w:rPr/>
        <w:t>Mistrem České republiky, vítězem Extraligy se stane družstvo, které v soutěži získá nejvíce bodů        v celkové</w:t>
      </w:r>
      <w:r>
        <w:rPr>
          <w:spacing w:val="-8"/>
        </w:rPr>
        <w:t> </w:t>
      </w:r>
      <w:r>
        <w:rPr/>
        <w:t>klasifikaci.</w:t>
      </w:r>
    </w:p>
    <w:p>
      <w:pPr>
        <w:pStyle w:val="BodyText"/>
      </w:pPr>
    </w:p>
    <w:p>
      <w:pPr>
        <w:pStyle w:val="BodyText"/>
        <w:ind w:left="115" w:right="3892"/>
      </w:pPr>
      <w:r>
        <w:rPr/>
        <w:t>Při rovnosti bodů v celkové klasifikaci Extraligy rozhoduje: Výsledek pátého finálového závodu</w:t>
      </w:r>
    </w:p>
    <w:p>
      <w:pPr>
        <w:pStyle w:val="BodyText"/>
        <w:rPr>
          <w:sz w:val="24"/>
        </w:rPr>
      </w:pPr>
    </w:p>
    <w:p>
      <w:pPr>
        <w:pStyle w:val="BodyText"/>
        <w:spacing w:before="6"/>
        <w:rPr>
          <w:sz w:val="20"/>
        </w:rPr>
      </w:pPr>
    </w:p>
    <w:p>
      <w:pPr>
        <w:pStyle w:val="Heading1"/>
        <w:tabs>
          <w:tab w:pos="1531" w:val="left" w:leader="none"/>
        </w:tabs>
        <w:jc w:val="left"/>
      </w:pPr>
      <w:r>
        <w:rPr/>
        <w:t>N</w:t>
      </w:r>
      <w:r>
        <w:rPr>
          <w:spacing w:val="-1"/>
        </w:rPr>
        <w:t> </w:t>
      </w:r>
      <w:r>
        <w:rPr/>
        <w:t>072. 8</w:t>
        <w:tab/>
        <w:t>Sazebník</w:t>
      </w:r>
      <w:r>
        <w:rPr>
          <w:spacing w:val="-3"/>
        </w:rPr>
        <w:t> </w:t>
      </w:r>
      <w:r>
        <w:rPr/>
        <w:t>náhrad</w:t>
      </w:r>
    </w:p>
    <w:p>
      <w:pPr>
        <w:pStyle w:val="BodyText"/>
        <w:spacing w:line="250" w:lineRule="exact"/>
        <w:ind w:left="115"/>
      </w:pPr>
      <w:r>
        <w:rPr/>
        <w:t>Družstva startují v závodech na svoje náklady.</w:t>
      </w:r>
    </w:p>
    <w:sectPr>
      <w:headerReference w:type="default" r:id="rId7"/>
      <w:pgSz w:w="11900" w:h="16840"/>
      <w:pgMar w:header="710" w:footer="1014" w:top="920" w:bottom="1200" w:left="1300" w:right="1300"/>
      <w:pgNumType w:start="3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9973pt;margin-top:780.324341pt;width:118.25pt;height:13.05pt;mso-position-horizontal-relative:page;mso-position-vertical-relative:page;z-index:-14320" type="#_x0000_t202" filled="false" stroked="false">
          <v:textbox inset="0,0,0,0">
            <w:txbxContent>
              <w:p>
                <w:pPr>
                  <w:spacing w:before="10"/>
                  <w:ind w:left="20" w:right="0" w:firstLine="0"/>
                  <w:jc w:val="left"/>
                  <w:rPr>
                    <w:sz w:val="20"/>
                  </w:rPr>
                </w:pPr>
                <w:r>
                  <w:rPr>
                    <w:sz w:val="20"/>
                  </w:rPr>
                  <w:t>PD AČR 2020 / 20. 12. 2019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799973pt;margin-top:34.524834pt;width:203.2pt;height:13.05pt;mso-position-horizontal-relative:page;mso-position-vertical-relative:page;z-index:-14368" type="#_x0000_t202" filled="false" stroked="false">
          <v:textbox inset="0,0,0,0">
            <w:txbxContent>
              <w:p>
                <w:pPr>
                  <w:spacing w:before="10"/>
                  <w:ind w:left="20" w:right="0" w:firstLine="0"/>
                  <w:jc w:val="left"/>
                  <w:rPr>
                    <w:sz w:val="20"/>
                  </w:rPr>
                </w:pPr>
                <w:r>
                  <w:rPr>
                    <w:sz w:val="20"/>
                  </w:rPr>
                  <w:t>NOVÉ_Příloha N 072 MMČR družstev Extraliga(</w:t>
                </w:r>
              </w:p>
            </w:txbxContent>
          </v:textbox>
          <w10:wrap type="none"/>
        </v:shape>
      </w:pict>
    </w:r>
    <w:r>
      <w:rPr/>
      <w:pict>
        <v:shape style="position:absolute;margin-left:501.679688pt;margin-top:34.524834pt;width:23.7pt;height:13.05pt;mso-position-horizontal-relative:page;mso-position-vertical-relative:page;z-index:-14344" type="#_x0000_t202" filled="false" stroked="false">
          <v:textbox inset="0,0,0,0">
            <w:txbxContent>
              <w:p>
                <w:pPr>
                  <w:spacing w:before="10"/>
                  <w:ind w:left="20" w:right="0" w:firstLine="0"/>
                  <w:jc w:val="left"/>
                  <w:rPr>
                    <w:sz w:val="20"/>
                  </w:rPr>
                </w:pPr>
                <w:r>
                  <w:rPr>
                    <w:sz w:val="20"/>
                  </w:rPr>
                  <w:t>- </w:t>
                </w:r>
                <w:r>
                  <w:rPr/>
                  <w:fldChar w:fldCharType="begin"/>
                </w:r>
                <w:r>
                  <w:rPr>
                    <w:sz w:val="20"/>
                  </w:rPr>
                  <w:instrText> PAGE </w:instrText>
                </w:r>
                <w:r>
                  <w:rPr/>
                  <w:fldChar w:fldCharType="separate"/>
                </w:r>
                <w:r>
                  <w:rPr/>
                  <w:t>27</w:t>
                </w:r>
                <w:r>
                  <w:rPr/>
                  <w:fldChar w:fldCharType="end"/>
                </w:r>
                <w:r>
                  <w:rPr>
                    <w:sz w:val="20"/>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9973pt;margin-top:34.524834pt;width:203.2pt;height:13.05pt;mso-position-horizontal-relative:page;mso-position-vertical-relative:page;z-index:-14296" type="#_x0000_t202" filled="false" stroked="false">
          <v:textbox inset="0,0,0,0">
            <w:txbxContent>
              <w:p>
                <w:pPr>
                  <w:spacing w:before="10"/>
                  <w:ind w:left="20" w:right="0" w:firstLine="0"/>
                  <w:jc w:val="left"/>
                  <w:rPr>
                    <w:sz w:val="20"/>
                  </w:rPr>
                </w:pPr>
                <w:r>
                  <w:rPr>
                    <w:sz w:val="20"/>
                  </w:rPr>
                  <w:t>NOVÉ_Příloha N 072 MMČR družstev Extraliga(</w:t>
                </w:r>
              </w:p>
            </w:txbxContent>
          </v:textbox>
          <w10:wrap type="none"/>
        </v:shape>
      </w:pict>
    </w:r>
    <w:r>
      <w:rPr/>
      <w:pict>
        <v:shape style="position:absolute;margin-left:501.679688pt;margin-top:34.524834pt;width:23.7pt;height:13.05pt;mso-position-horizontal-relative:page;mso-position-vertical-relative:page;z-index:-14272" type="#_x0000_t202" filled="false" stroked="false">
          <v:textbox inset="0,0,0,0">
            <w:txbxContent>
              <w:p>
                <w:pPr>
                  <w:spacing w:before="10"/>
                  <w:ind w:left="20" w:right="0" w:firstLine="0"/>
                  <w:jc w:val="left"/>
                  <w:rPr>
                    <w:sz w:val="20"/>
                  </w:rPr>
                </w:pPr>
                <w:r>
                  <w:rPr>
                    <w:sz w:val="20"/>
                  </w:rPr>
                  <w:t>- </w:t>
                </w:r>
                <w:r>
                  <w:rPr/>
                  <w:fldChar w:fldCharType="begin"/>
                </w:r>
                <w:r>
                  <w:rPr>
                    <w:sz w:val="20"/>
                  </w:rPr>
                  <w:instrText> PAGE </w:instrText>
                </w:r>
                <w:r>
                  <w:rPr/>
                  <w:fldChar w:fldCharType="separate"/>
                </w:r>
                <w:r>
                  <w:rPr/>
                  <w:t>30</w:t>
                </w:r>
                <w:r>
                  <w:rPr/>
                  <w:fldChar w:fldCharType="end"/>
                </w:r>
                <w:r>
                  <w:rPr>
                    <w:sz w:val="20"/>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5" w:hanging="238"/>
        <w:jc w:val="left"/>
      </w:pPr>
      <w:rPr>
        <w:rFonts w:hint="default" w:ascii="Times New Roman" w:hAnsi="Times New Roman" w:eastAsia="Times New Roman" w:cs="Times New Roman"/>
        <w:w w:val="100"/>
        <w:sz w:val="22"/>
        <w:szCs w:val="22"/>
      </w:rPr>
    </w:lvl>
    <w:lvl w:ilvl="1">
      <w:start w:val="0"/>
      <w:numFmt w:val="bullet"/>
      <w:lvlText w:val="•"/>
      <w:lvlJc w:val="left"/>
      <w:pPr>
        <w:ind w:left="1038" w:hanging="238"/>
      </w:pPr>
      <w:rPr>
        <w:rFonts w:hint="default"/>
      </w:rPr>
    </w:lvl>
    <w:lvl w:ilvl="2">
      <w:start w:val="0"/>
      <w:numFmt w:val="bullet"/>
      <w:lvlText w:val="•"/>
      <w:lvlJc w:val="left"/>
      <w:pPr>
        <w:ind w:left="1956" w:hanging="238"/>
      </w:pPr>
      <w:rPr>
        <w:rFonts w:hint="default"/>
      </w:rPr>
    </w:lvl>
    <w:lvl w:ilvl="3">
      <w:start w:val="0"/>
      <w:numFmt w:val="bullet"/>
      <w:lvlText w:val="•"/>
      <w:lvlJc w:val="left"/>
      <w:pPr>
        <w:ind w:left="2874" w:hanging="238"/>
      </w:pPr>
      <w:rPr>
        <w:rFonts w:hint="default"/>
      </w:rPr>
    </w:lvl>
    <w:lvl w:ilvl="4">
      <w:start w:val="0"/>
      <w:numFmt w:val="bullet"/>
      <w:lvlText w:val="•"/>
      <w:lvlJc w:val="left"/>
      <w:pPr>
        <w:ind w:left="3792" w:hanging="238"/>
      </w:pPr>
      <w:rPr>
        <w:rFonts w:hint="default"/>
      </w:rPr>
    </w:lvl>
    <w:lvl w:ilvl="5">
      <w:start w:val="0"/>
      <w:numFmt w:val="bullet"/>
      <w:lvlText w:val="•"/>
      <w:lvlJc w:val="left"/>
      <w:pPr>
        <w:ind w:left="4710" w:hanging="238"/>
      </w:pPr>
      <w:rPr>
        <w:rFonts w:hint="default"/>
      </w:rPr>
    </w:lvl>
    <w:lvl w:ilvl="6">
      <w:start w:val="0"/>
      <w:numFmt w:val="bullet"/>
      <w:lvlText w:val="•"/>
      <w:lvlJc w:val="left"/>
      <w:pPr>
        <w:ind w:left="5628" w:hanging="238"/>
      </w:pPr>
      <w:rPr>
        <w:rFonts w:hint="default"/>
      </w:rPr>
    </w:lvl>
    <w:lvl w:ilvl="7">
      <w:start w:val="0"/>
      <w:numFmt w:val="bullet"/>
      <w:lvlText w:val="•"/>
      <w:lvlJc w:val="left"/>
      <w:pPr>
        <w:ind w:left="6546" w:hanging="238"/>
      </w:pPr>
      <w:rPr>
        <w:rFonts w:hint="default"/>
      </w:rPr>
    </w:lvl>
    <w:lvl w:ilvl="8">
      <w:start w:val="0"/>
      <w:numFmt w:val="bullet"/>
      <w:lvlText w:val="•"/>
      <w:lvlJc w:val="left"/>
      <w:pPr>
        <w:ind w:left="7464" w:hanging="23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line="250" w:lineRule="exact"/>
      <w:ind w:left="115"/>
      <w:jc w:val="both"/>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line="252" w:lineRule="exact"/>
      <w:ind w:left="115" w:firstLine="1"/>
    </w:pPr>
    <w:rPr>
      <w:rFonts w:ascii="Times New Roman" w:hAnsi="Times New Roman" w:eastAsia="Times New Roman" w:cs="Times New Roman"/>
    </w:rPr>
  </w:style>
  <w:style w:styleId="TableParagraph" w:type="paragraph">
    <w:name w:val="Table Paragraph"/>
    <w:basedOn w:val="Normal"/>
    <w:uiPriority w:val="1"/>
    <w:qFormat/>
    <w:pPr>
      <w:spacing w:line="248"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keywords>()</cp:keywords>
  <dc:title>NOVÉ_Příloha N 072 MMČR družstev Extraliga_</dc:title>
  <dcterms:created xsi:type="dcterms:W3CDTF">2020-01-05T18:53:25Z</dcterms:created>
  <dcterms:modified xsi:type="dcterms:W3CDTF">2020-01-05T18:53:25Z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PDFCreator Version 1.7.0</vt:lpwstr>
  </property>
  <property fmtid="{D5CDD505-2E9C-101B-9397-08002B2CF9AE}" pid="4" name="LastSaved">
    <vt:filetime>2020-01-05T00:00:00Z</vt:filetime>
  </property>
</Properties>
</file>